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ED4C" w14:textId="77777777" w:rsidR="00AB4320" w:rsidRDefault="00AB4320" w:rsidP="00F2728C">
      <w:pPr>
        <w:jc w:val="center"/>
        <w:rPr>
          <w:b/>
          <w:sz w:val="24"/>
        </w:rPr>
      </w:pPr>
      <w:r>
        <w:rPr>
          <w:b/>
          <w:sz w:val="40"/>
        </w:rPr>
        <w:t>GameAccount Network plc</w:t>
      </w:r>
      <w:r w:rsidR="007B529A">
        <w:rPr>
          <w:b/>
          <w:sz w:val="40"/>
        </w:rPr>
        <w:t xml:space="preserve"> (GAN)</w:t>
      </w:r>
    </w:p>
    <w:p w14:paraId="56A566B5" w14:textId="77777777" w:rsidR="00F2728C" w:rsidRDefault="00F2728C" w:rsidP="00AB4320">
      <w:pPr>
        <w:jc w:val="center"/>
        <w:rPr>
          <w:b/>
          <w:sz w:val="24"/>
        </w:rPr>
      </w:pPr>
    </w:p>
    <w:p w14:paraId="22620F63" w14:textId="77777777" w:rsidR="00AB4320" w:rsidRDefault="00AB4320" w:rsidP="00F2728C">
      <w:pPr>
        <w:jc w:val="center"/>
        <w:rPr>
          <w:b/>
          <w:sz w:val="24"/>
        </w:rPr>
      </w:pPr>
      <w:r w:rsidRPr="00F2728C">
        <w:rPr>
          <w:b/>
          <w:sz w:val="36"/>
        </w:rPr>
        <w:t>201</w:t>
      </w:r>
      <w:r w:rsidR="00760ECA">
        <w:rPr>
          <w:b/>
          <w:sz w:val="36"/>
        </w:rPr>
        <w:t>5</w:t>
      </w:r>
      <w:r w:rsidRPr="00F2728C">
        <w:rPr>
          <w:b/>
          <w:sz w:val="36"/>
        </w:rPr>
        <w:t xml:space="preserve"> Half Year Results</w:t>
      </w:r>
    </w:p>
    <w:p w14:paraId="26F51671" w14:textId="77777777" w:rsidR="00AB4320" w:rsidRDefault="00AB4320" w:rsidP="00F2728C">
      <w:pPr>
        <w:rPr>
          <w:b/>
        </w:rPr>
      </w:pPr>
    </w:p>
    <w:p w14:paraId="236ABFD9" w14:textId="77777777" w:rsidR="00AB4320" w:rsidRDefault="00AB4320" w:rsidP="00AB4320">
      <w:pPr>
        <w:jc w:val="center"/>
        <w:rPr>
          <w:b/>
        </w:rPr>
      </w:pPr>
      <w:r>
        <w:rPr>
          <w:b/>
        </w:rPr>
        <w:t>LSE: GAME</w:t>
      </w:r>
      <w:r>
        <w:rPr>
          <w:b/>
        </w:rPr>
        <w:tab/>
      </w:r>
      <w:r>
        <w:rPr>
          <w:b/>
        </w:rPr>
        <w:tab/>
        <w:t>ISE: GAME</w:t>
      </w:r>
    </w:p>
    <w:p w14:paraId="514EB6A8" w14:textId="77777777" w:rsidR="00AB4320" w:rsidRDefault="00AB4320" w:rsidP="00AB4320">
      <w:pPr>
        <w:jc w:val="center"/>
        <w:rPr>
          <w:b/>
        </w:rPr>
      </w:pPr>
    </w:p>
    <w:p w14:paraId="53C2282B" w14:textId="77777777" w:rsidR="00AB4320" w:rsidRPr="003A208B" w:rsidRDefault="00AB4320" w:rsidP="003A208B">
      <w:pPr>
        <w:jc w:val="both"/>
        <w:rPr>
          <w:b/>
          <w:sz w:val="22"/>
        </w:rPr>
      </w:pPr>
      <w:r w:rsidRPr="003A208B">
        <w:rPr>
          <w:b/>
          <w:sz w:val="22"/>
        </w:rPr>
        <w:t>London</w:t>
      </w:r>
      <w:r w:rsidR="00FE79A5" w:rsidRPr="003A208B">
        <w:rPr>
          <w:b/>
          <w:sz w:val="22"/>
        </w:rPr>
        <w:t xml:space="preserve"> &amp; Dublin</w:t>
      </w:r>
      <w:r w:rsidR="00B83CAC" w:rsidRPr="003A208B">
        <w:rPr>
          <w:b/>
          <w:sz w:val="22"/>
        </w:rPr>
        <w:t xml:space="preserve"> |</w:t>
      </w:r>
      <w:r w:rsidRPr="003A208B">
        <w:rPr>
          <w:b/>
          <w:sz w:val="22"/>
        </w:rPr>
        <w:t xml:space="preserve"> 2</w:t>
      </w:r>
      <w:r w:rsidR="009C2AFF">
        <w:rPr>
          <w:b/>
          <w:sz w:val="22"/>
        </w:rPr>
        <w:t>8</w:t>
      </w:r>
      <w:r w:rsidRPr="003A208B">
        <w:rPr>
          <w:b/>
          <w:sz w:val="22"/>
        </w:rPr>
        <w:t xml:space="preserve"> September, 201</w:t>
      </w:r>
      <w:r w:rsidR="00760ECA">
        <w:rPr>
          <w:b/>
          <w:sz w:val="22"/>
        </w:rPr>
        <w:t>5</w:t>
      </w:r>
      <w:r w:rsidRPr="003A208B">
        <w:rPr>
          <w:b/>
          <w:sz w:val="22"/>
        </w:rPr>
        <w:t xml:space="preserve">: </w:t>
      </w:r>
      <w:r w:rsidRPr="003A208B">
        <w:rPr>
          <w:sz w:val="22"/>
        </w:rPr>
        <w:t>GameAccount Network plc (“</w:t>
      </w:r>
      <w:r w:rsidR="007B529A">
        <w:rPr>
          <w:sz w:val="22"/>
        </w:rPr>
        <w:t>GAN</w:t>
      </w:r>
      <w:r w:rsidRPr="003A208B">
        <w:rPr>
          <w:sz w:val="22"/>
        </w:rPr>
        <w:t>” or the “Group”), a leading developer and supplier of enterprise-level B2B gaming software and online gaming content, announce</w:t>
      </w:r>
      <w:r w:rsidR="00F2728C" w:rsidRPr="003A208B">
        <w:rPr>
          <w:sz w:val="22"/>
        </w:rPr>
        <w:t>s</w:t>
      </w:r>
      <w:r w:rsidR="00CA5AF2">
        <w:rPr>
          <w:sz w:val="22"/>
        </w:rPr>
        <w:t xml:space="preserve"> </w:t>
      </w:r>
      <w:r w:rsidR="00463414">
        <w:rPr>
          <w:sz w:val="22"/>
        </w:rPr>
        <w:t xml:space="preserve">its </w:t>
      </w:r>
      <w:r w:rsidRPr="003A208B">
        <w:rPr>
          <w:sz w:val="22"/>
        </w:rPr>
        <w:t>results for the six months ended 30 June 201</w:t>
      </w:r>
      <w:r w:rsidR="00760ECA">
        <w:rPr>
          <w:sz w:val="22"/>
        </w:rPr>
        <w:t>5</w:t>
      </w:r>
      <w:r w:rsidRPr="003A208B">
        <w:rPr>
          <w:sz w:val="22"/>
        </w:rPr>
        <w:t xml:space="preserve">. </w:t>
      </w:r>
    </w:p>
    <w:p w14:paraId="5A8BCAFE" w14:textId="77777777" w:rsidR="00AB4320" w:rsidRPr="003A208B" w:rsidRDefault="00AB4320" w:rsidP="003A208B">
      <w:pPr>
        <w:jc w:val="both"/>
        <w:rPr>
          <w:b/>
          <w:sz w:val="22"/>
        </w:rPr>
      </w:pPr>
    </w:p>
    <w:p w14:paraId="3FF75627" w14:textId="77777777" w:rsidR="00AB4320" w:rsidRPr="003A208B" w:rsidRDefault="00D4114B" w:rsidP="003A208B">
      <w:pPr>
        <w:jc w:val="both"/>
        <w:rPr>
          <w:b/>
          <w:sz w:val="22"/>
        </w:rPr>
      </w:pPr>
      <w:r>
        <w:rPr>
          <w:b/>
          <w:sz w:val="22"/>
        </w:rPr>
        <w:t xml:space="preserve">Operational Overview and Current </w:t>
      </w:r>
      <w:r w:rsidRPr="003A208B">
        <w:rPr>
          <w:b/>
          <w:sz w:val="22"/>
        </w:rPr>
        <w:t>Developments</w:t>
      </w:r>
    </w:p>
    <w:p w14:paraId="0EB0F4E1" w14:textId="77777777" w:rsidR="00AB4320" w:rsidRPr="00E061C7" w:rsidRDefault="00AB4320" w:rsidP="00FE79A5">
      <w:pPr>
        <w:pStyle w:val="ListParagraph"/>
        <w:spacing w:after="0" w:line="240" w:lineRule="auto"/>
        <w:jc w:val="both"/>
        <w:rPr>
          <w:rFonts w:ascii="Times New Roman" w:hAnsi="Times New Roman" w:cs="Times New Roman"/>
        </w:rPr>
      </w:pPr>
    </w:p>
    <w:p w14:paraId="35AF25FE" w14:textId="77777777" w:rsidR="000C2371" w:rsidRPr="00B76AE6" w:rsidRDefault="00B76AE6" w:rsidP="00FE79A5">
      <w:pPr>
        <w:pStyle w:val="ListParagraph"/>
        <w:numPr>
          <w:ilvl w:val="0"/>
          <w:numId w:val="41"/>
        </w:numPr>
        <w:spacing w:after="0" w:line="240" w:lineRule="auto"/>
        <w:jc w:val="both"/>
        <w:rPr>
          <w:rFonts w:ascii="Times New Roman" w:hAnsi="Times New Roman" w:cs="Times New Roman"/>
        </w:rPr>
      </w:pPr>
      <w:r w:rsidRPr="00B76AE6">
        <w:rPr>
          <w:rFonts w:ascii="Times New Roman" w:hAnsi="Times New Roman" w:cs="Times New Roman"/>
        </w:rPr>
        <w:t xml:space="preserve">Launched </w:t>
      </w:r>
      <w:r w:rsidR="000C2371" w:rsidRPr="00B76AE6">
        <w:rPr>
          <w:rFonts w:ascii="Times New Roman" w:hAnsi="Times New Roman" w:cs="Times New Roman"/>
        </w:rPr>
        <w:t xml:space="preserve"> Simulated Gaming</w:t>
      </w:r>
      <w:r w:rsidR="000C2371" w:rsidRPr="00B76AE6">
        <w:rPr>
          <w:rFonts w:ascii="Times New Roman" w:hAnsi="Times New Roman" w:cs="Times New Roman"/>
          <w:lang w:val="en-US"/>
        </w:rPr>
        <w:t xml:space="preserve">™ in </w:t>
      </w:r>
      <w:r w:rsidRPr="00B76AE6">
        <w:rPr>
          <w:rFonts w:ascii="Times New Roman" w:hAnsi="Times New Roman" w:cs="Times New Roman"/>
          <w:lang w:val="en-US"/>
        </w:rPr>
        <w:t>Pennsylvania with Parx Casino (Greenwood Gaming &amp; Entertainment Inc</w:t>
      </w:r>
      <w:r w:rsidR="005665CF">
        <w:rPr>
          <w:rFonts w:ascii="Times New Roman" w:hAnsi="Times New Roman" w:cs="Times New Roman"/>
          <w:lang w:val="en-US"/>
        </w:rPr>
        <w:t>)</w:t>
      </w:r>
      <w:r w:rsidRPr="00B76AE6">
        <w:rPr>
          <w:rFonts w:ascii="Times New Roman" w:hAnsi="Times New Roman" w:cs="Times New Roman"/>
          <w:lang w:val="en-US"/>
        </w:rPr>
        <w:t xml:space="preserve"> and in Australia</w:t>
      </w:r>
      <w:r w:rsidR="007B529A">
        <w:rPr>
          <w:rFonts w:ascii="Times New Roman" w:hAnsi="Times New Roman" w:cs="Times New Roman"/>
          <w:lang w:val="en-US"/>
        </w:rPr>
        <w:t xml:space="preserve"> launched Club8Casino.com.au</w:t>
      </w:r>
      <w:r w:rsidR="00686CF4">
        <w:rPr>
          <w:rFonts w:ascii="Times New Roman" w:hAnsi="Times New Roman" w:cs="Times New Roman"/>
          <w:lang w:val="en-US"/>
        </w:rPr>
        <w:t>, our first launch outside of the US market,</w:t>
      </w:r>
      <w:r w:rsidRPr="00B76AE6">
        <w:rPr>
          <w:rFonts w:ascii="Times New Roman" w:hAnsi="Times New Roman" w:cs="Times New Roman"/>
          <w:lang w:val="en-US"/>
        </w:rPr>
        <w:t xml:space="preserve"> with </w:t>
      </w:r>
      <w:r w:rsidR="007B529A">
        <w:rPr>
          <w:rFonts w:ascii="Times New Roman" w:hAnsi="Times New Roman" w:cs="Times New Roman"/>
          <w:lang w:val="en-US"/>
        </w:rPr>
        <w:t>a consortium of licensed Queensland gaming venue operators</w:t>
      </w:r>
    </w:p>
    <w:p w14:paraId="1B515B57" w14:textId="77777777" w:rsidR="002A0DB2" w:rsidRPr="00477404" w:rsidRDefault="002A0DB2" w:rsidP="00E061C7">
      <w:pPr>
        <w:pStyle w:val="ListParagraph"/>
        <w:spacing w:after="0" w:line="240" w:lineRule="auto"/>
        <w:jc w:val="both"/>
        <w:rPr>
          <w:rFonts w:ascii="Times New Roman" w:hAnsi="Times New Roman" w:cs="Times New Roman"/>
          <w:i/>
          <w:color w:val="FF0000"/>
        </w:rPr>
      </w:pPr>
    </w:p>
    <w:p w14:paraId="1B29D8D2" w14:textId="77777777" w:rsidR="00D4114B" w:rsidRDefault="00B76AE6" w:rsidP="00D4114B">
      <w:pPr>
        <w:pStyle w:val="ListParagraph"/>
        <w:numPr>
          <w:ilvl w:val="0"/>
          <w:numId w:val="41"/>
        </w:numPr>
        <w:spacing w:after="0" w:line="240" w:lineRule="auto"/>
        <w:jc w:val="both"/>
        <w:rPr>
          <w:rFonts w:ascii="Times New Roman" w:hAnsi="Times New Roman" w:cs="Times New Roman"/>
        </w:rPr>
      </w:pPr>
      <w:r w:rsidRPr="002D5FEE">
        <w:rPr>
          <w:rFonts w:ascii="Times New Roman" w:hAnsi="Times New Roman" w:cs="Times New Roman"/>
        </w:rPr>
        <w:t xml:space="preserve">Signed </w:t>
      </w:r>
      <w:r w:rsidR="002A0DB2" w:rsidRPr="002D5FEE">
        <w:rPr>
          <w:rFonts w:ascii="Times New Roman" w:hAnsi="Times New Roman" w:cs="Times New Roman"/>
        </w:rPr>
        <w:t xml:space="preserve"> two (2) further Simulated </w:t>
      </w:r>
      <w:r w:rsidR="00896C14" w:rsidRPr="002D5FEE">
        <w:rPr>
          <w:rFonts w:ascii="Times New Roman" w:hAnsi="Times New Roman" w:cs="Times New Roman"/>
        </w:rPr>
        <w:t>Gaming</w:t>
      </w:r>
      <w:r w:rsidR="00896C14" w:rsidRPr="002D5FEE">
        <w:rPr>
          <w:rFonts w:ascii="Times New Roman" w:hAnsi="Times New Roman" w:cs="Times New Roman"/>
          <w:vertAlign w:val="superscript"/>
        </w:rPr>
        <w:t>TM</w:t>
      </w:r>
      <w:r w:rsidR="002A0DB2" w:rsidRPr="002D5FEE">
        <w:rPr>
          <w:rFonts w:ascii="Times New Roman" w:hAnsi="Times New Roman" w:cs="Times New Roman"/>
        </w:rPr>
        <w:t xml:space="preserve"> clients</w:t>
      </w:r>
      <w:r w:rsidR="00FE79A5" w:rsidRPr="002D5FEE">
        <w:rPr>
          <w:rFonts w:ascii="Times New Roman" w:hAnsi="Times New Roman" w:cs="Times New Roman"/>
        </w:rPr>
        <w:t xml:space="preserve"> in the US</w:t>
      </w:r>
      <w:r w:rsidRPr="002D5FEE">
        <w:rPr>
          <w:rFonts w:ascii="Times New Roman" w:hAnsi="Times New Roman" w:cs="Times New Roman"/>
        </w:rPr>
        <w:t xml:space="preserve">; San Manuel in California, our first West Coast operator and </w:t>
      </w:r>
      <w:r w:rsidR="002A0DB2" w:rsidRPr="002D5FEE">
        <w:rPr>
          <w:rFonts w:ascii="Times New Roman" w:hAnsi="Times New Roman" w:cs="Times New Roman"/>
        </w:rPr>
        <w:t xml:space="preserve"> </w:t>
      </w:r>
      <w:r w:rsidR="00896C14" w:rsidRPr="002D5FEE">
        <w:rPr>
          <w:rFonts w:ascii="Times New Roman" w:hAnsi="Times New Roman" w:cs="Times New Roman"/>
        </w:rPr>
        <w:t>Maryland Live! Casino in Maryland</w:t>
      </w:r>
      <w:r w:rsidR="00F7256E" w:rsidRPr="002D5FEE">
        <w:rPr>
          <w:rFonts w:ascii="Times New Roman" w:hAnsi="Times New Roman" w:cs="Times New Roman"/>
        </w:rPr>
        <w:t xml:space="preserve"> which has an </w:t>
      </w:r>
      <w:r w:rsidR="007B529A">
        <w:rPr>
          <w:rFonts w:ascii="Times New Roman" w:hAnsi="Times New Roman" w:cs="Times New Roman"/>
        </w:rPr>
        <w:t>online free-to-play presence launched in 2012 which will be upgraded to Simulated Gaming</w:t>
      </w:r>
      <w:r w:rsidR="007B529A">
        <w:rPr>
          <w:rFonts w:ascii="Times New Roman" w:hAnsi="Times New Roman" w:cs="Times New Roman"/>
          <w:vertAlign w:val="superscript"/>
        </w:rPr>
        <w:t>TM</w:t>
      </w:r>
      <w:r w:rsidR="007B529A">
        <w:rPr>
          <w:rFonts w:ascii="Times New Roman" w:hAnsi="Times New Roman" w:cs="Times New Roman"/>
        </w:rPr>
        <w:t xml:space="preserve"> </w:t>
      </w:r>
    </w:p>
    <w:p w14:paraId="2F6FBD51" w14:textId="77777777" w:rsidR="002D5FEE" w:rsidRPr="002D5FEE" w:rsidRDefault="002D5FEE" w:rsidP="002D5FEE">
      <w:pPr>
        <w:pStyle w:val="ListParagraph"/>
        <w:rPr>
          <w:rFonts w:ascii="Times New Roman" w:hAnsi="Times New Roman" w:cs="Times New Roman"/>
        </w:rPr>
      </w:pPr>
    </w:p>
    <w:p w14:paraId="6CBE9BC6" w14:textId="77777777" w:rsidR="00F7256E" w:rsidRDefault="00F7256E" w:rsidP="00E061C7">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In excess of one million </w:t>
      </w:r>
      <w:r w:rsidR="002D5FEE">
        <w:rPr>
          <w:rFonts w:ascii="Times New Roman" w:hAnsi="Times New Roman" w:cs="Times New Roman"/>
        </w:rPr>
        <w:t>Simulated Gaming</w:t>
      </w:r>
      <w:r w:rsidR="002D5FEE">
        <w:rPr>
          <w:rFonts w:ascii="Times New Roman" w:hAnsi="Times New Roman" w:cs="Times New Roman"/>
          <w:vertAlign w:val="superscript"/>
        </w:rPr>
        <w:t>TM</w:t>
      </w:r>
      <w:r w:rsidR="002D5FEE">
        <w:rPr>
          <w:rFonts w:ascii="Times New Roman" w:hAnsi="Times New Roman" w:cs="Times New Roman"/>
        </w:rPr>
        <w:t xml:space="preserve"> </w:t>
      </w:r>
      <w:r>
        <w:rPr>
          <w:rFonts w:ascii="Times New Roman" w:hAnsi="Times New Roman" w:cs="Times New Roman"/>
        </w:rPr>
        <w:t xml:space="preserve">active player days representing an increase of 285% year on year </w:t>
      </w:r>
    </w:p>
    <w:p w14:paraId="676AE27B" w14:textId="77777777" w:rsidR="00F7256E" w:rsidRPr="00F7256E" w:rsidRDefault="00F7256E" w:rsidP="00F7256E">
      <w:pPr>
        <w:pStyle w:val="ListParagraph"/>
        <w:rPr>
          <w:rFonts w:ascii="Times New Roman" w:hAnsi="Times New Roman" w:cs="Times New Roman"/>
        </w:rPr>
      </w:pPr>
    </w:p>
    <w:p w14:paraId="0A7F63BA" w14:textId="77777777" w:rsidR="00D4114B" w:rsidRDefault="00F7256E" w:rsidP="00E061C7">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Gross Purchas</w:t>
      </w:r>
      <w:r w:rsidR="00C13462">
        <w:rPr>
          <w:rFonts w:ascii="Times New Roman" w:hAnsi="Times New Roman" w:cs="Times New Roman"/>
        </w:rPr>
        <w:t>es from Simulated Gaming have exceeded $2.8m, an increase of over 330%</w:t>
      </w:r>
    </w:p>
    <w:p w14:paraId="54217E48" w14:textId="77777777" w:rsidR="00C13462" w:rsidRPr="00C13462" w:rsidRDefault="00C13462" w:rsidP="00C13462">
      <w:pPr>
        <w:pStyle w:val="ListParagraph"/>
        <w:rPr>
          <w:rFonts w:ascii="Times New Roman" w:hAnsi="Times New Roman" w:cs="Times New Roman"/>
        </w:rPr>
      </w:pPr>
    </w:p>
    <w:p w14:paraId="23F67456" w14:textId="77777777" w:rsidR="00C13462" w:rsidRPr="00DB59AB" w:rsidRDefault="007B529A" w:rsidP="00E061C7">
      <w:pPr>
        <w:pStyle w:val="ListParagraph"/>
        <w:numPr>
          <w:ilvl w:val="0"/>
          <w:numId w:val="41"/>
        </w:numPr>
        <w:spacing w:after="0" w:line="240" w:lineRule="auto"/>
        <w:jc w:val="both"/>
        <w:rPr>
          <w:rFonts w:ascii="Times New Roman" w:hAnsi="Times New Roman" w:cs="Times New Roman"/>
        </w:rPr>
      </w:pPr>
      <w:r w:rsidRPr="00DB59AB">
        <w:rPr>
          <w:rFonts w:ascii="Times New Roman" w:hAnsi="Times New Roman" w:cs="Times New Roman"/>
        </w:rPr>
        <w:t xml:space="preserve">Post-period end, active player days have accelerated materially in Q3 with the commencement of the seasonally strong period and scale acquisition marketing for selected US casino clients. In excess of 825,000 active player days have been recorded in Q3 to September 25, 2015 representing an increase of 420% year on year </w:t>
      </w:r>
      <w:r w:rsidR="00C13462" w:rsidRPr="00DB59AB">
        <w:rPr>
          <w:rFonts w:ascii="Times New Roman" w:hAnsi="Times New Roman" w:cs="Times New Roman"/>
        </w:rPr>
        <w:t xml:space="preserve"> </w:t>
      </w:r>
    </w:p>
    <w:p w14:paraId="40D9DB76" w14:textId="77777777" w:rsidR="00C13462" w:rsidRPr="00C13462" w:rsidRDefault="00C13462" w:rsidP="00C13462">
      <w:pPr>
        <w:pStyle w:val="ListParagraph"/>
        <w:rPr>
          <w:rFonts w:ascii="Times New Roman" w:hAnsi="Times New Roman" w:cs="Times New Roman"/>
          <w:color w:val="FF0000"/>
        </w:rPr>
      </w:pPr>
    </w:p>
    <w:p w14:paraId="00C51E01" w14:textId="33DF1FB7" w:rsidR="00C13462" w:rsidRPr="00C13462" w:rsidRDefault="001D6DBE" w:rsidP="00E061C7">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CEO has relocated to Las Vegas, Nevada with his family </w:t>
      </w:r>
      <w:r w:rsidR="00C13462" w:rsidRPr="00C13462">
        <w:rPr>
          <w:rFonts w:ascii="Times New Roman" w:hAnsi="Times New Roman" w:cs="Times New Roman"/>
        </w:rPr>
        <w:t>demonstrat</w:t>
      </w:r>
      <w:r>
        <w:rPr>
          <w:rFonts w:ascii="Times New Roman" w:hAnsi="Times New Roman" w:cs="Times New Roman"/>
        </w:rPr>
        <w:t>ing</w:t>
      </w:r>
      <w:r w:rsidR="00C13462" w:rsidRPr="00C13462">
        <w:rPr>
          <w:rFonts w:ascii="Times New Roman" w:hAnsi="Times New Roman" w:cs="Times New Roman"/>
        </w:rPr>
        <w:t xml:space="preserve"> comm</w:t>
      </w:r>
      <w:r w:rsidR="00CF6BB3">
        <w:rPr>
          <w:rFonts w:ascii="Times New Roman" w:hAnsi="Times New Roman" w:cs="Times New Roman"/>
        </w:rPr>
        <w:t>itment to expedite delivery of Simulated G</w:t>
      </w:r>
      <w:r w:rsidR="00C13462" w:rsidRPr="00C13462">
        <w:rPr>
          <w:rFonts w:ascii="Times New Roman" w:hAnsi="Times New Roman" w:cs="Times New Roman"/>
        </w:rPr>
        <w:t>aming</w:t>
      </w:r>
      <w:r w:rsidR="00CF6BB3">
        <w:rPr>
          <w:rFonts w:ascii="Times New Roman" w:hAnsi="Times New Roman" w:cs="Times New Roman"/>
        </w:rPr>
        <w:t>™ opportunities</w:t>
      </w:r>
      <w:bookmarkStart w:id="0" w:name="_GoBack"/>
      <w:bookmarkEnd w:id="0"/>
      <w:r w:rsidR="00C13462" w:rsidRPr="00C13462">
        <w:rPr>
          <w:rFonts w:ascii="Times New Roman" w:hAnsi="Times New Roman" w:cs="Times New Roman"/>
        </w:rPr>
        <w:t xml:space="preserve"> in the US </w:t>
      </w:r>
    </w:p>
    <w:p w14:paraId="251CC190" w14:textId="77777777" w:rsidR="00896C14" w:rsidRPr="00896C14" w:rsidRDefault="00896C14" w:rsidP="00896C14">
      <w:pPr>
        <w:pStyle w:val="ListParagraph"/>
        <w:rPr>
          <w:rFonts w:ascii="Times New Roman" w:hAnsi="Times New Roman" w:cs="Times New Roman"/>
        </w:rPr>
      </w:pPr>
    </w:p>
    <w:p w14:paraId="5B3A89CD" w14:textId="77777777" w:rsidR="00896C14" w:rsidRDefault="00896C14" w:rsidP="00E061C7">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Launch of our Casual Mobile Gaming Platform with initial title </w:t>
      </w:r>
      <w:r w:rsidR="00DB59AB">
        <w:rPr>
          <w:rFonts w:ascii="Times New Roman" w:hAnsi="Times New Roman" w:cs="Times New Roman"/>
        </w:rPr>
        <w:t xml:space="preserve">Foxwoods </w:t>
      </w:r>
      <w:r>
        <w:rPr>
          <w:rFonts w:ascii="Times New Roman" w:hAnsi="Times New Roman" w:cs="Times New Roman"/>
        </w:rPr>
        <w:t>Solitaire Quest</w:t>
      </w:r>
      <w:r>
        <w:rPr>
          <w:rFonts w:ascii="Times New Roman" w:hAnsi="Times New Roman" w:cs="Times New Roman"/>
          <w:vertAlign w:val="superscript"/>
        </w:rPr>
        <w:t>TM</w:t>
      </w:r>
      <w:r>
        <w:rPr>
          <w:rFonts w:ascii="Times New Roman" w:hAnsi="Times New Roman" w:cs="Times New Roman"/>
        </w:rPr>
        <w:t xml:space="preserve"> to complement our Simulated Gaming</w:t>
      </w:r>
      <w:r>
        <w:rPr>
          <w:rFonts w:ascii="Times New Roman" w:hAnsi="Times New Roman" w:cs="Times New Roman"/>
          <w:vertAlign w:val="superscript"/>
        </w:rPr>
        <w:t>TM</w:t>
      </w:r>
      <w:r w:rsidR="00C13462">
        <w:rPr>
          <w:rFonts w:ascii="Times New Roman" w:hAnsi="Times New Roman" w:cs="Times New Roman"/>
        </w:rPr>
        <w:t xml:space="preserve"> product offering</w:t>
      </w:r>
    </w:p>
    <w:p w14:paraId="6FC576AB" w14:textId="77777777" w:rsidR="00896C14" w:rsidRPr="00896C14" w:rsidRDefault="00896C14" w:rsidP="00896C14">
      <w:pPr>
        <w:pStyle w:val="ListParagraph"/>
        <w:rPr>
          <w:rFonts w:ascii="Times New Roman" w:hAnsi="Times New Roman" w:cs="Times New Roman"/>
        </w:rPr>
      </w:pPr>
    </w:p>
    <w:p w14:paraId="05666394" w14:textId="77777777" w:rsidR="00896C14" w:rsidRDefault="00896C14" w:rsidP="00E061C7">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Further enhanced Simulated Gaming product offering with the launch of real</w:t>
      </w:r>
      <w:r w:rsidR="00DB59AB">
        <w:rPr>
          <w:rFonts w:ascii="Times New Roman" w:hAnsi="Times New Roman" w:cs="Times New Roman"/>
        </w:rPr>
        <w:t xml:space="preserve"> time slot tournament capability, upgraded mobile app, improved social features, leading casino baccarat variant EZ BACCARAT®</w:t>
      </w:r>
      <w:r>
        <w:rPr>
          <w:rFonts w:ascii="Times New Roman" w:hAnsi="Times New Roman" w:cs="Times New Roman"/>
        </w:rPr>
        <w:t xml:space="preserve"> and additional slots titles from</w:t>
      </w:r>
      <w:r w:rsidR="00DB59AB">
        <w:rPr>
          <w:rFonts w:ascii="Times New Roman" w:hAnsi="Times New Roman" w:cs="Times New Roman"/>
        </w:rPr>
        <w:t xml:space="preserve"> Konami Gaming, Incredible Technologies, Gamomat and High Flyer Games</w:t>
      </w:r>
    </w:p>
    <w:p w14:paraId="4406D625" w14:textId="77777777" w:rsidR="00896C14" w:rsidRPr="00896C14" w:rsidRDefault="00896C14" w:rsidP="00896C14">
      <w:pPr>
        <w:pStyle w:val="ListParagraph"/>
        <w:rPr>
          <w:rFonts w:ascii="Times New Roman" w:hAnsi="Times New Roman" w:cs="Times New Roman"/>
        </w:rPr>
      </w:pPr>
    </w:p>
    <w:p w14:paraId="555217D1" w14:textId="77777777" w:rsidR="0020152C" w:rsidRPr="00655FEE" w:rsidRDefault="00896C14" w:rsidP="00655FEE">
      <w:pPr>
        <w:pStyle w:val="ListParagraph"/>
        <w:numPr>
          <w:ilvl w:val="0"/>
          <w:numId w:val="41"/>
        </w:numPr>
        <w:spacing w:after="0" w:line="240" w:lineRule="auto"/>
        <w:jc w:val="both"/>
        <w:rPr>
          <w:rFonts w:ascii="Times New Roman" w:hAnsi="Times New Roman" w:cs="Times New Roman"/>
        </w:rPr>
      </w:pPr>
      <w:r w:rsidRPr="00655FEE">
        <w:rPr>
          <w:rFonts w:ascii="Times New Roman" w:hAnsi="Times New Roman" w:cs="Times New Roman"/>
        </w:rPr>
        <w:t xml:space="preserve">Rebranded to GAN and enhanced US presence through </w:t>
      </w:r>
      <w:r w:rsidR="0004419D">
        <w:rPr>
          <w:rFonts w:ascii="Times New Roman" w:hAnsi="Times New Roman" w:cs="Times New Roman"/>
        </w:rPr>
        <w:t>expanded Nevada Office</w:t>
      </w:r>
      <w:r w:rsidR="00DB59AB">
        <w:rPr>
          <w:rFonts w:ascii="Times New Roman" w:hAnsi="Times New Roman" w:cs="Times New Roman"/>
        </w:rPr>
        <w:t xml:space="preserve"> supporting CEO’s recent relocation</w:t>
      </w:r>
    </w:p>
    <w:p w14:paraId="4968869D" w14:textId="77777777" w:rsidR="00AB4320" w:rsidRPr="00477404" w:rsidRDefault="00AB4320">
      <w:pPr>
        <w:pStyle w:val="ListParagraph"/>
        <w:spacing w:after="0" w:line="240" w:lineRule="auto"/>
        <w:jc w:val="both"/>
        <w:rPr>
          <w:rFonts w:ascii="Times New Roman" w:hAnsi="Times New Roman" w:cs="Times New Roman"/>
          <w:i/>
          <w:color w:val="FF0000"/>
        </w:rPr>
      </w:pPr>
    </w:p>
    <w:p w14:paraId="4A011F22" w14:textId="77777777" w:rsidR="00AB4320" w:rsidRPr="00896C14" w:rsidRDefault="00896C14">
      <w:pPr>
        <w:pStyle w:val="ListParagraph"/>
        <w:numPr>
          <w:ilvl w:val="0"/>
          <w:numId w:val="41"/>
        </w:numPr>
        <w:spacing w:after="0" w:line="240" w:lineRule="auto"/>
        <w:jc w:val="both"/>
        <w:rPr>
          <w:rFonts w:ascii="Times New Roman" w:hAnsi="Times New Roman" w:cs="Times New Roman"/>
        </w:rPr>
      </w:pPr>
      <w:r w:rsidRPr="00896C14">
        <w:rPr>
          <w:rFonts w:ascii="Times New Roman" w:hAnsi="Times New Roman" w:cs="Times New Roman"/>
        </w:rPr>
        <w:t>Continued i</w:t>
      </w:r>
      <w:r w:rsidR="00AB4320" w:rsidRPr="00896C14">
        <w:rPr>
          <w:rFonts w:ascii="Times New Roman" w:hAnsi="Times New Roman" w:cs="Times New Roman"/>
        </w:rPr>
        <w:t>nvest</w:t>
      </w:r>
      <w:r w:rsidRPr="00896C14">
        <w:rPr>
          <w:rFonts w:ascii="Times New Roman" w:hAnsi="Times New Roman" w:cs="Times New Roman"/>
        </w:rPr>
        <w:t>ment</w:t>
      </w:r>
      <w:r w:rsidR="00AB4320" w:rsidRPr="00896C14">
        <w:rPr>
          <w:rFonts w:ascii="Times New Roman" w:hAnsi="Times New Roman" w:cs="Times New Roman"/>
        </w:rPr>
        <w:t xml:space="preserve"> in US</w:t>
      </w:r>
      <w:r w:rsidR="00954BF2" w:rsidRPr="00896C14">
        <w:rPr>
          <w:rFonts w:ascii="Times New Roman" w:hAnsi="Times New Roman" w:cs="Times New Roman"/>
        </w:rPr>
        <w:t xml:space="preserve"> and UK</w:t>
      </w:r>
      <w:r w:rsidR="00AB4320" w:rsidRPr="00896C14">
        <w:rPr>
          <w:rFonts w:ascii="Times New Roman" w:hAnsi="Times New Roman" w:cs="Times New Roman"/>
        </w:rPr>
        <w:t xml:space="preserve"> infrastructure: Technical, Licensing, People &amp; Patents</w:t>
      </w:r>
    </w:p>
    <w:p w14:paraId="28143CFC" w14:textId="77777777" w:rsidR="00AB4320" w:rsidRDefault="00AB4320">
      <w:pPr>
        <w:jc w:val="both"/>
        <w:rPr>
          <w:sz w:val="22"/>
          <w:highlight w:val="yellow"/>
        </w:rPr>
      </w:pPr>
    </w:p>
    <w:p w14:paraId="2B745D06" w14:textId="77777777" w:rsidR="00D5616E" w:rsidRPr="003A208B" w:rsidRDefault="00D5616E" w:rsidP="00D5616E">
      <w:pPr>
        <w:jc w:val="both"/>
        <w:rPr>
          <w:b/>
          <w:sz w:val="22"/>
        </w:rPr>
      </w:pPr>
      <w:r w:rsidRPr="003A208B">
        <w:rPr>
          <w:b/>
          <w:sz w:val="22"/>
        </w:rPr>
        <w:t>Financial Overview</w:t>
      </w:r>
    </w:p>
    <w:p w14:paraId="2A2181FA" w14:textId="77777777" w:rsidR="00D5616E" w:rsidRPr="003A208B" w:rsidRDefault="00D5616E" w:rsidP="00D5616E">
      <w:pPr>
        <w:jc w:val="both"/>
        <w:rPr>
          <w:sz w:val="22"/>
        </w:rPr>
      </w:pPr>
    </w:p>
    <w:p w14:paraId="628422A5" w14:textId="77777777" w:rsidR="009D7288" w:rsidRDefault="009D7288" w:rsidP="00D5616E">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Gross Income has increased to £13.4m (2014: £13.2m)</w:t>
      </w:r>
    </w:p>
    <w:p w14:paraId="0231F115" w14:textId="77777777" w:rsidR="009D7288" w:rsidRDefault="009D7288" w:rsidP="009D7288">
      <w:pPr>
        <w:pStyle w:val="ListParagraph"/>
        <w:spacing w:after="0" w:line="240" w:lineRule="auto"/>
        <w:jc w:val="both"/>
        <w:rPr>
          <w:rFonts w:ascii="Times New Roman" w:hAnsi="Times New Roman" w:cs="Times New Roman"/>
        </w:rPr>
      </w:pPr>
    </w:p>
    <w:p w14:paraId="50FA5DA3" w14:textId="77777777" w:rsidR="00D5616E" w:rsidRPr="00E061C7" w:rsidRDefault="00D5616E" w:rsidP="00D5616E">
      <w:pPr>
        <w:pStyle w:val="ListParagraph"/>
        <w:numPr>
          <w:ilvl w:val="0"/>
          <w:numId w:val="41"/>
        </w:numPr>
        <w:spacing w:after="0" w:line="240" w:lineRule="auto"/>
        <w:jc w:val="both"/>
        <w:rPr>
          <w:rFonts w:ascii="Times New Roman" w:hAnsi="Times New Roman" w:cs="Times New Roman"/>
        </w:rPr>
      </w:pPr>
      <w:r w:rsidRPr="00E061C7">
        <w:rPr>
          <w:rFonts w:ascii="Times New Roman" w:hAnsi="Times New Roman" w:cs="Times New Roman"/>
        </w:rPr>
        <w:t xml:space="preserve">Net Revenue </w:t>
      </w:r>
      <w:r>
        <w:rPr>
          <w:rFonts w:ascii="Times New Roman" w:hAnsi="Times New Roman" w:cs="Times New Roman"/>
        </w:rPr>
        <w:t>o</w:t>
      </w:r>
      <w:r w:rsidRPr="00E061C7">
        <w:rPr>
          <w:rFonts w:ascii="Times New Roman" w:hAnsi="Times New Roman" w:cs="Times New Roman"/>
        </w:rPr>
        <w:t>f £</w:t>
      </w:r>
      <w:r>
        <w:rPr>
          <w:rFonts w:ascii="Times New Roman" w:hAnsi="Times New Roman" w:cs="Times New Roman"/>
        </w:rPr>
        <w:t>2.9</w:t>
      </w:r>
      <w:r w:rsidRPr="00E061C7">
        <w:rPr>
          <w:rFonts w:ascii="Times New Roman" w:hAnsi="Times New Roman" w:cs="Times New Roman"/>
        </w:rPr>
        <w:t>m (201</w:t>
      </w:r>
      <w:r>
        <w:rPr>
          <w:rFonts w:ascii="Times New Roman" w:hAnsi="Times New Roman" w:cs="Times New Roman"/>
        </w:rPr>
        <w:t>4</w:t>
      </w:r>
      <w:r w:rsidRPr="00E061C7">
        <w:rPr>
          <w:rFonts w:ascii="Times New Roman" w:hAnsi="Times New Roman" w:cs="Times New Roman"/>
        </w:rPr>
        <w:t>: £</w:t>
      </w:r>
      <w:r>
        <w:rPr>
          <w:rFonts w:ascii="Times New Roman" w:hAnsi="Times New Roman" w:cs="Times New Roman"/>
        </w:rPr>
        <w:t>4.2</w:t>
      </w:r>
      <w:r w:rsidRPr="00E061C7">
        <w:rPr>
          <w:rFonts w:ascii="Times New Roman" w:hAnsi="Times New Roman" w:cs="Times New Roman"/>
        </w:rPr>
        <w:t>m)</w:t>
      </w:r>
    </w:p>
    <w:p w14:paraId="2FE71A19" w14:textId="77777777" w:rsidR="00D5616E" w:rsidRPr="003A208B" w:rsidRDefault="00D5616E" w:rsidP="00D5616E">
      <w:pPr>
        <w:pStyle w:val="ListParagraph"/>
        <w:spacing w:after="0" w:line="240" w:lineRule="auto"/>
        <w:jc w:val="both"/>
        <w:rPr>
          <w:rFonts w:ascii="Times New Roman" w:hAnsi="Times New Roman" w:cs="Times New Roman"/>
        </w:rPr>
      </w:pPr>
    </w:p>
    <w:p w14:paraId="4FE1006E" w14:textId="77777777" w:rsidR="00D5616E" w:rsidRDefault="00D5616E" w:rsidP="00D5616E">
      <w:pPr>
        <w:pStyle w:val="ListParagraph"/>
        <w:numPr>
          <w:ilvl w:val="0"/>
          <w:numId w:val="41"/>
        </w:numPr>
        <w:spacing w:after="0" w:line="240" w:lineRule="auto"/>
        <w:jc w:val="both"/>
        <w:rPr>
          <w:rFonts w:ascii="Times New Roman" w:hAnsi="Times New Roman" w:cs="Times New Roman"/>
        </w:rPr>
      </w:pPr>
      <w:r w:rsidRPr="00D5616E">
        <w:rPr>
          <w:rFonts w:ascii="Times New Roman" w:hAnsi="Times New Roman" w:cs="Times New Roman"/>
        </w:rPr>
        <w:t xml:space="preserve">Underlying Net Revenue decreased 6% to £2.9m (2014: £3.1m </w:t>
      </w:r>
      <w:r>
        <w:rPr>
          <w:rFonts w:ascii="Times New Roman" w:hAnsi="Times New Roman" w:cs="Times New Roman"/>
        </w:rPr>
        <w:t>e</w:t>
      </w:r>
      <w:r w:rsidRPr="00D5616E">
        <w:rPr>
          <w:rFonts w:ascii="Times New Roman" w:hAnsi="Times New Roman" w:cs="Times New Roman"/>
        </w:rPr>
        <w:t>xcluding the impact of system sales in 2014 of £1.1m</w:t>
      </w:r>
      <w:r w:rsidR="00686CF4">
        <w:rPr>
          <w:rFonts w:ascii="Times New Roman" w:hAnsi="Times New Roman" w:cs="Times New Roman"/>
        </w:rPr>
        <w:t>)</w:t>
      </w:r>
    </w:p>
    <w:p w14:paraId="05DA6384" w14:textId="77777777" w:rsidR="00D5616E" w:rsidRPr="00D5616E" w:rsidRDefault="00D5616E" w:rsidP="00D5616E">
      <w:pPr>
        <w:pStyle w:val="ListParagraph"/>
        <w:rPr>
          <w:rFonts w:ascii="Times New Roman" w:hAnsi="Times New Roman" w:cs="Times New Roman"/>
        </w:rPr>
      </w:pPr>
    </w:p>
    <w:p w14:paraId="2628737B" w14:textId="77777777" w:rsidR="00D5616E" w:rsidRDefault="00D5616E" w:rsidP="00D5616E">
      <w:pPr>
        <w:pStyle w:val="ListParagraph"/>
        <w:numPr>
          <w:ilvl w:val="0"/>
          <w:numId w:val="41"/>
        </w:numPr>
        <w:spacing w:after="0" w:line="240" w:lineRule="auto"/>
        <w:jc w:val="both"/>
        <w:rPr>
          <w:rFonts w:ascii="Times New Roman" w:hAnsi="Times New Roman" w:cs="Times New Roman"/>
        </w:rPr>
      </w:pPr>
      <w:r w:rsidRPr="003A208B">
        <w:rPr>
          <w:rFonts w:ascii="Times New Roman" w:hAnsi="Times New Roman" w:cs="Times New Roman"/>
        </w:rPr>
        <w:t>Clean Ebitda</w:t>
      </w:r>
      <w:r w:rsidRPr="003A208B">
        <w:rPr>
          <w:rFonts w:ascii="Times New Roman" w:hAnsi="Times New Roman" w:cs="Times New Roman"/>
          <w:vertAlign w:val="superscript"/>
        </w:rPr>
        <w:t>1</w:t>
      </w:r>
      <w:r w:rsidRPr="003A208B">
        <w:rPr>
          <w:rFonts w:ascii="Times New Roman" w:hAnsi="Times New Roman" w:cs="Times New Roman"/>
        </w:rPr>
        <w:t xml:space="preserve"> loss of £</w:t>
      </w:r>
      <w:r>
        <w:rPr>
          <w:rFonts w:ascii="Times New Roman" w:hAnsi="Times New Roman" w:cs="Times New Roman"/>
        </w:rPr>
        <w:t>1.5</w:t>
      </w:r>
      <w:r w:rsidRPr="003A208B">
        <w:rPr>
          <w:rFonts w:ascii="Times New Roman" w:hAnsi="Times New Roman" w:cs="Times New Roman"/>
        </w:rPr>
        <w:t>m (201</w:t>
      </w:r>
      <w:r>
        <w:rPr>
          <w:rFonts w:ascii="Times New Roman" w:hAnsi="Times New Roman" w:cs="Times New Roman"/>
        </w:rPr>
        <w:t>4</w:t>
      </w:r>
      <w:r w:rsidRPr="003A208B">
        <w:rPr>
          <w:rFonts w:ascii="Times New Roman" w:hAnsi="Times New Roman" w:cs="Times New Roman"/>
        </w:rPr>
        <w:t xml:space="preserve">: </w:t>
      </w:r>
      <w:r>
        <w:rPr>
          <w:rFonts w:ascii="Times New Roman" w:hAnsi="Times New Roman" w:cs="Times New Roman"/>
        </w:rPr>
        <w:t xml:space="preserve">loss of </w:t>
      </w:r>
      <w:r w:rsidRPr="003A208B">
        <w:rPr>
          <w:rFonts w:ascii="Times New Roman" w:hAnsi="Times New Roman" w:cs="Times New Roman"/>
        </w:rPr>
        <w:t>£</w:t>
      </w:r>
      <w:r>
        <w:rPr>
          <w:rFonts w:ascii="Times New Roman" w:hAnsi="Times New Roman" w:cs="Times New Roman"/>
        </w:rPr>
        <w:t>0.4</w:t>
      </w:r>
      <w:r w:rsidRPr="003A208B">
        <w:rPr>
          <w:rFonts w:ascii="Times New Roman" w:hAnsi="Times New Roman" w:cs="Times New Roman"/>
        </w:rPr>
        <w:t>m)</w:t>
      </w:r>
    </w:p>
    <w:p w14:paraId="78E2F5D2" w14:textId="77777777" w:rsidR="00D5616E" w:rsidRPr="000C704E" w:rsidRDefault="00D5616E" w:rsidP="00D5616E">
      <w:pPr>
        <w:pStyle w:val="ListParagraph"/>
        <w:rPr>
          <w:rFonts w:ascii="Times New Roman" w:hAnsi="Times New Roman" w:cs="Times New Roman"/>
        </w:rPr>
      </w:pPr>
    </w:p>
    <w:p w14:paraId="35FD65B6" w14:textId="77777777" w:rsidR="00D5616E" w:rsidRDefault="00D5616E" w:rsidP="00D5616E">
      <w:pPr>
        <w:pStyle w:val="ListParagraph"/>
        <w:numPr>
          <w:ilvl w:val="0"/>
          <w:numId w:val="41"/>
        </w:numPr>
        <w:spacing w:after="0" w:line="240" w:lineRule="auto"/>
        <w:jc w:val="both"/>
        <w:rPr>
          <w:rFonts w:ascii="Times New Roman" w:hAnsi="Times New Roman" w:cs="Times New Roman"/>
        </w:rPr>
      </w:pPr>
      <w:r w:rsidRPr="00D5616E">
        <w:rPr>
          <w:rFonts w:ascii="Times New Roman" w:hAnsi="Times New Roman" w:cs="Times New Roman"/>
        </w:rPr>
        <w:t>Underlying Clean Ebitda</w:t>
      </w:r>
      <w:r w:rsidRPr="00D5616E">
        <w:rPr>
          <w:rFonts w:ascii="Times New Roman" w:hAnsi="Times New Roman" w:cs="Times New Roman"/>
          <w:vertAlign w:val="superscript"/>
        </w:rPr>
        <w:t>1</w:t>
      </w:r>
      <w:r w:rsidRPr="00D5616E">
        <w:rPr>
          <w:rFonts w:ascii="Times New Roman" w:hAnsi="Times New Roman" w:cs="Times New Roman"/>
        </w:rPr>
        <w:t xml:space="preserve"> loss </w:t>
      </w:r>
      <w:r>
        <w:rPr>
          <w:rFonts w:ascii="Times New Roman" w:hAnsi="Times New Roman" w:cs="Times New Roman"/>
        </w:rPr>
        <w:t>remains unchanged</w:t>
      </w:r>
      <w:r w:rsidRPr="00D5616E">
        <w:rPr>
          <w:rFonts w:ascii="Times New Roman" w:hAnsi="Times New Roman" w:cs="Times New Roman"/>
        </w:rPr>
        <w:t xml:space="preserve"> at £1.5m</w:t>
      </w:r>
      <w:r>
        <w:rPr>
          <w:rFonts w:ascii="Times New Roman" w:hAnsi="Times New Roman" w:cs="Times New Roman"/>
        </w:rPr>
        <w:t xml:space="preserve"> e</w:t>
      </w:r>
      <w:r w:rsidRPr="00D5616E">
        <w:rPr>
          <w:rFonts w:ascii="Times New Roman" w:hAnsi="Times New Roman" w:cs="Times New Roman"/>
        </w:rPr>
        <w:t>xcluding the impact of system sales</w:t>
      </w:r>
      <w:r>
        <w:rPr>
          <w:rFonts w:ascii="Times New Roman" w:hAnsi="Times New Roman" w:cs="Times New Roman"/>
        </w:rPr>
        <w:t xml:space="preserve">  in 2014</w:t>
      </w:r>
    </w:p>
    <w:p w14:paraId="5533CAA9" w14:textId="77777777" w:rsidR="00D5616E" w:rsidRPr="00D5616E" w:rsidRDefault="00D5616E" w:rsidP="00D5616E">
      <w:pPr>
        <w:pStyle w:val="ListParagraph"/>
        <w:rPr>
          <w:rFonts w:ascii="Times New Roman" w:hAnsi="Times New Roman" w:cs="Times New Roman"/>
        </w:rPr>
      </w:pPr>
    </w:p>
    <w:p w14:paraId="3EF2A38A" w14:textId="77777777" w:rsidR="00D5616E" w:rsidRPr="003A208B" w:rsidRDefault="00D5616E" w:rsidP="00D5616E">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Net Revenue attributable to Simulated Gaming has increased significantly to £1.2m (2014: £0.2m)</w:t>
      </w:r>
    </w:p>
    <w:p w14:paraId="7D78BF6B" w14:textId="77777777" w:rsidR="00D5616E" w:rsidRPr="003A208B" w:rsidRDefault="00D5616E" w:rsidP="00D5616E">
      <w:pPr>
        <w:jc w:val="both"/>
        <w:rPr>
          <w:sz w:val="22"/>
        </w:rPr>
      </w:pPr>
    </w:p>
    <w:p w14:paraId="1C54675B" w14:textId="77777777" w:rsidR="00D5616E" w:rsidRPr="003A208B" w:rsidRDefault="00D5616E" w:rsidP="00D5616E">
      <w:pPr>
        <w:pStyle w:val="ListParagraph"/>
        <w:numPr>
          <w:ilvl w:val="0"/>
          <w:numId w:val="41"/>
        </w:numPr>
        <w:spacing w:after="0" w:line="240" w:lineRule="auto"/>
        <w:jc w:val="both"/>
        <w:rPr>
          <w:rFonts w:ascii="Times New Roman" w:hAnsi="Times New Roman" w:cs="Times New Roman"/>
        </w:rPr>
      </w:pPr>
      <w:r w:rsidRPr="00E061C7">
        <w:rPr>
          <w:rFonts w:ascii="Times New Roman" w:hAnsi="Times New Roman" w:cs="Times New Roman"/>
        </w:rPr>
        <w:t>Loss before tax of £</w:t>
      </w:r>
      <w:r>
        <w:rPr>
          <w:rFonts w:ascii="Times New Roman" w:hAnsi="Times New Roman" w:cs="Times New Roman"/>
        </w:rPr>
        <w:t>2.6</w:t>
      </w:r>
      <w:r w:rsidRPr="00E061C7">
        <w:rPr>
          <w:rFonts w:ascii="Times New Roman" w:hAnsi="Times New Roman" w:cs="Times New Roman"/>
        </w:rPr>
        <w:t>m (201</w:t>
      </w:r>
      <w:r>
        <w:rPr>
          <w:rFonts w:ascii="Times New Roman" w:hAnsi="Times New Roman" w:cs="Times New Roman"/>
        </w:rPr>
        <w:t>4</w:t>
      </w:r>
      <w:r w:rsidRPr="00E061C7">
        <w:rPr>
          <w:rFonts w:ascii="Times New Roman" w:hAnsi="Times New Roman" w:cs="Times New Roman"/>
        </w:rPr>
        <w:t xml:space="preserve">: </w:t>
      </w:r>
      <w:r>
        <w:rPr>
          <w:rFonts w:ascii="Times New Roman" w:hAnsi="Times New Roman" w:cs="Times New Roman"/>
        </w:rPr>
        <w:t>Loss</w:t>
      </w:r>
      <w:r w:rsidRPr="00E061C7">
        <w:rPr>
          <w:rFonts w:ascii="Times New Roman" w:hAnsi="Times New Roman" w:cs="Times New Roman"/>
        </w:rPr>
        <w:t xml:space="preserve"> </w:t>
      </w:r>
      <w:r w:rsidRPr="003A208B">
        <w:rPr>
          <w:rFonts w:ascii="Times New Roman" w:hAnsi="Times New Roman" w:cs="Times New Roman"/>
        </w:rPr>
        <w:t>before tax of £</w:t>
      </w:r>
      <w:r>
        <w:rPr>
          <w:rFonts w:ascii="Times New Roman" w:hAnsi="Times New Roman" w:cs="Times New Roman"/>
        </w:rPr>
        <w:t>0</w:t>
      </w:r>
      <w:r w:rsidRPr="003A208B">
        <w:rPr>
          <w:rFonts w:ascii="Times New Roman" w:hAnsi="Times New Roman" w:cs="Times New Roman"/>
        </w:rPr>
        <w:t>.9m) and loss per share of £</w:t>
      </w:r>
      <w:r>
        <w:rPr>
          <w:rFonts w:ascii="Times New Roman" w:hAnsi="Times New Roman" w:cs="Times New Roman"/>
        </w:rPr>
        <w:t>0.05</w:t>
      </w:r>
      <w:r w:rsidRPr="003A208B">
        <w:rPr>
          <w:rFonts w:ascii="Times New Roman" w:hAnsi="Times New Roman" w:cs="Times New Roman"/>
        </w:rPr>
        <w:t xml:space="preserve"> (201</w:t>
      </w:r>
      <w:r>
        <w:rPr>
          <w:rFonts w:ascii="Times New Roman" w:hAnsi="Times New Roman" w:cs="Times New Roman"/>
        </w:rPr>
        <w:t>4</w:t>
      </w:r>
      <w:r w:rsidRPr="003A208B">
        <w:rPr>
          <w:rFonts w:ascii="Times New Roman" w:hAnsi="Times New Roman" w:cs="Times New Roman"/>
        </w:rPr>
        <w:t xml:space="preserve"> </w:t>
      </w:r>
      <w:r>
        <w:rPr>
          <w:rFonts w:ascii="Times New Roman" w:hAnsi="Times New Roman" w:cs="Times New Roman"/>
        </w:rPr>
        <w:t>loss per share</w:t>
      </w:r>
      <w:r w:rsidRPr="003A208B">
        <w:rPr>
          <w:rFonts w:ascii="Times New Roman" w:hAnsi="Times New Roman" w:cs="Times New Roman"/>
        </w:rPr>
        <w:t xml:space="preserve"> £0.</w:t>
      </w:r>
      <w:r>
        <w:rPr>
          <w:rFonts w:ascii="Times New Roman" w:hAnsi="Times New Roman" w:cs="Times New Roman"/>
        </w:rPr>
        <w:t>02</w:t>
      </w:r>
      <w:r w:rsidRPr="003A208B">
        <w:rPr>
          <w:rFonts w:ascii="Times New Roman" w:hAnsi="Times New Roman" w:cs="Times New Roman"/>
        </w:rPr>
        <w:t xml:space="preserve">) </w:t>
      </w:r>
    </w:p>
    <w:p w14:paraId="6D0DCEB8" w14:textId="77777777" w:rsidR="00D5616E" w:rsidRPr="003A208B" w:rsidRDefault="00D5616E" w:rsidP="00D5616E">
      <w:pPr>
        <w:jc w:val="both"/>
        <w:rPr>
          <w:sz w:val="22"/>
        </w:rPr>
      </w:pPr>
    </w:p>
    <w:p w14:paraId="45C05FAE" w14:textId="77777777" w:rsidR="00D4114B" w:rsidRPr="00D4114B" w:rsidRDefault="00D5616E" w:rsidP="00D4114B">
      <w:pPr>
        <w:pStyle w:val="ListParagraph"/>
        <w:numPr>
          <w:ilvl w:val="0"/>
          <w:numId w:val="41"/>
        </w:numPr>
        <w:spacing w:after="0" w:line="240" w:lineRule="auto"/>
        <w:jc w:val="both"/>
        <w:rPr>
          <w:rFonts w:ascii="Times New Roman" w:hAnsi="Times New Roman" w:cs="Times New Roman"/>
        </w:rPr>
      </w:pPr>
      <w:r w:rsidRPr="00D4114B">
        <w:rPr>
          <w:rFonts w:ascii="Times New Roman" w:hAnsi="Times New Roman" w:cs="Times New Roman"/>
        </w:rPr>
        <w:t xml:space="preserve">Cash and cash equivalents at the end of the period of £7.6m </w:t>
      </w:r>
    </w:p>
    <w:p w14:paraId="0023735A" w14:textId="77777777" w:rsidR="00D4114B" w:rsidRPr="00D4114B" w:rsidRDefault="00D4114B" w:rsidP="00D4114B">
      <w:pPr>
        <w:pStyle w:val="ListParagraph"/>
        <w:spacing w:after="0" w:line="240" w:lineRule="auto"/>
        <w:jc w:val="both"/>
        <w:rPr>
          <w:rFonts w:ascii="Times New Roman" w:hAnsi="Times New Roman" w:cs="Times New Roman"/>
        </w:rPr>
      </w:pPr>
    </w:p>
    <w:p w14:paraId="6B0CEEB4" w14:textId="77777777" w:rsidR="00D5616E" w:rsidRDefault="00D4114B" w:rsidP="00D5616E">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Balance Sheet remains solid with </w:t>
      </w:r>
      <w:r w:rsidR="00D5616E" w:rsidRPr="003A208B">
        <w:rPr>
          <w:rFonts w:ascii="Times New Roman" w:hAnsi="Times New Roman" w:cs="Times New Roman"/>
        </w:rPr>
        <w:t>Net Assets at the end of the period of £</w:t>
      </w:r>
      <w:r w:rsidR="00D5616E">
        <w:rPr>
          <w:rFonts w:ascii="Times New Roman" w:hAnsi="Times New Roman" w:cs="Times New Roman"/>
        </w:rPr>
        <w:t>12.6</w:t>
      </w:r>
      <w:r w:rsidR="00D5616E" w:rsidRPr="003A208B">
        <w:rPr>
          <w:rFonts w:ascii="Times New Roman" w:hAnsi="Times New Roman" w:cs="Times New Roman"/>
        </w:rPr>
        <w:t xml:space="preserve">m </w:t>
      </w:r>
    </w:p>
    <w:p w14:paraId="6A2E5345" w14:textId="77777777" w:rsidR="003D7503" w:rsidRPr="003D7503" w:rsidRDefault="003D7503" w:rsidP="003D7503">
      <w:pPr>
        <w:pStyle w:val="ListParagraph"/>
        <w:rPr>
          <w:rFonts w:ascii="Times New Roman" w:hAnsi="Times New Roman" w:cs="Times New Roman"/>
        </w:rPr>
      </w:pPr>
    </w:p>
    <w:p w14:paraId="0E3D6B3E" w14:textId="77777777" w:rsidR="003D7503" w:rsidRPr="003A208B" w:rsidRDefault="003D7503" w:rsidP="003D7503">
      <w:pPr>
        <w:pStyle w:val="ListParagraph"/>
        <w:spacing w:after="0" w:line="240" w:lineRule="auto"/>
        <w:jc w:val="both"/>
        <w:rPr>
          <w:rFonts w:ascii="Times New Roman" w:hAnsi="Times New Roman" w:cs="Times New Roman"/>
        </w:rPr>
      </w:pPr>
    </w:p>
    <w:p w14:paraId="6547CF96" w14:textId="77777777" w:rsidR="00B83CAC" w:rsidRPr="003A208B" w:rsidRDefault="00B83CAC">
      <w:pPr>
        <w:jc w:val="both"/>
        <w:rPr>
          <w:b/>
          <w:sz w:val="22"/>
        </w:rPr>
      </w:pPr>
    </w:p>
    <w:p w14:paraId="0EF391D3" w14:textId="77777777" w:rsidR="00AB4320" w:rsidRDefault="00F2728C">
      <w:pPr>
        <w:jc w:val="both"/>
        <w:rPr>
          <w:b/>
          <w:sz w:val="22"/>
        </w:rPr>
      </w:pPr>
      <w:r w:rsidRPr="003A208B">
        <w:rPr>
          <w:b/>
          <w:sz w:val="22"/>
        </w:rPr>
        <w:t>Dermot Smurfit</w:t>
      </w:r>
      <w:r w:rsidR="00AB4320" w:rsidRPr="003A208B">
        <w:rPr>
          <w:b/>
          <w:sz w:val="22"/>
        </w:rPr>
        <w:t xml:space="preserve">, CEO of </w:t>
      </w:r>
      <w:r w:rsidR="00DB59AB">
        <w:rPr>
          <w:b/>
          <w:sz w:val="22"/>
        </w:rPr>
        <w:t>GAN</w:t>
      </w:r>
      <w:r w:rsidR="000C2371" w:rsidRPr="003A208B">
        <w:rPr>
          <w:b/>
          <w:sz w:val="22"/>
        </w:rPr>
        <w:t xml:space="preserve"> commented:</w:t>
      </w:r>
    </w:p>
    <w:p w14:paraId="312E0772" w14:textId="77777777" w:rsidR="00794879" w:rsidRPr="00686CF4" w:rsidRDefault="00DB59AB" w:rsidP="003A208B">
      <w:pPr>
        <w:spacing w:before="100" w:beforeAutospacing="1" w:after="100" w:afterAutospacing="1"/>
        <w:jc w:val="both"/>
        <w:rPr>
          <w:i/>
          <w:iCs/>
          <w:sz w:val="22"/>
        </w:rPr>
      </w:pPr>
      <w:r w:rsidRPr="00477404">
        <w:rPr>
          <w:i/>
          <w:iCs/>
          <w:color w:val="FF0000"/>
          <w:sz w:val="22"/>
        </w:rPr>
        <w:t xml:space="preserve"> </w:t>
      </w:r>
      <w:r w:rsidR="00024894" w:rsidRPr="00DB59AB">
        <w:rPr>
          <w:i/>
          <w:iCs/>
          <w:sz w:val="22"/>
        </w:rPr>
        <w:t>“</w:t>
      </w:r>
      <w:r w:rsidR="002D5FEE" w:rsidRPr="00686CF4">
        <w:rPr>
          <w:i/>
          <w:iCs/>
          <w:sz w:val="22"/>
        </w:rPr>
        <w:t>The first half of 2015</w:t>
      </w:r>
      <w:r w:rsidR="00794879" w:rsidRPr="00686CF4">
        <w:rPr>
          <w:i/>
          <w:iCs/>
          <w:sz w:val="22"/>
        </w:rPr>
        <w:t xml:space="preserve"> has continued the period of investment for </w:t>
      </w:r>
      <w:r w:rsidR="002D5FEE" w:rsidRPr="00686CF4">
        <w:rPr>
          <w:i/>
          <w:iCs/>
          <w:sz w:val="22"/>
        </w:rPr>
        <w:t>GAN</w:t>
      </w:r>
      <w:r w:rsidR="00794879" w:rsidRPr="00686CF4">
        <w:rPr>
          <w:i/>
          <w:iCs/>
          <w:sz w:val="22"/>
        </w:rPr>
        <w:t xml:space="preserve">, and, performance is in line with our </w:t>
      </w:r>
      <w:r>
        <w:rPr>
          <w:i/>
          <w:iCs/>
          <w:sz w:val="22"/>
        </w:rPr>
        <w:t>plan.</w:t>
      </w:r>
      <w:r w:rsidR="00794879" w:rsidRPr="00686CF4">
        <w:rPr>
          <w:i/>
          <w:iCs/>
          <w:sz w:val="22"/>
        </w:rPr>
        <w:t xml:space="preserve"> </w:t>
      </w:r>
    </w:p>
    <w:p w14:paraId="4DE0784E" w14:textId="77777777" w:rsidR="002D5FEE" w:rsidRPr="00686CF4" w:rsidRDefault="002D5FEE" w:rsidP="002D5FEE">
      <w:pPr>
        <w:spacing w:before="100" w:beforeAutospacing="1" w:after="100" w:afterAutospacing="1"/>
        <w:jc w:val="both"/>
        <w:rPr>
          <w:i/>
          <w:iCs/>
          <w:sz w:val="22"/>
        </w:rPr>
      </w:pPr>
      <w:r w:rsidRPr="00686CF4">
        <w:rPr>
          <w:i/>
          <w:iCs/>
          <w:sz w:val="22"/>
        </w:rPr>
        <w:t xml:space="preserve">We have continued to focus on building a </w:t>
      </w:r>
      <w:r w:rsidR="0061385E" w:rsidRPr="00686CF4">
        <w:rPr>
          <w:i/>
          <w:iCs/>
          <w:sz w:val="22"/>
        </w:rPr>
        <w:t>substantial recurring</w:t>
      </w:r>
      <w:r w:rsidRPr="00686CF4">
        <w:rPr>
          <w:i/>
          <w:iCs/>
          <w:sz w:val="22"/>
        </w:rPr>
        <w:t xml:space="preserve"> revenue base to offset this investment</w:t>
      </w:r>
      <w:r w:rsidR="0061385E" w:rsidRPr="00686CF4">
        <w:rPr>
          <w:i/>
          <w:iCs/>
          <w:sz w:val="22"/>
        </w:rPr>
        <w:t xml:space="preserve"> and achieve future profitability.</w:t>
      </w:r>
      <w:r w:rsidRPr="00686CF4">
        <w:rPr>
          <w:i/>
          <w:iCs/>
          <w:sz w:val="22"/>
        </w:rPr>
        <w:t xml:space="preserve"> </w:t>
      </w:r>
      <w:r w:rsidR="0061385E" w:rsidRPr="00686CF4">
        <w:rPr>
          <w:i/>
          <w:iCs/>
          <w:sz w:val="22"/>
        </w:rPr>
        <w:t xml:space="preserve">In particular, </w:t>
      </w:r>
      <w:r w:rsidRPr="00686CF4">
        <w:rPr>
          <w:i/>
          <w:iCs/>
          <w:sz w:val="22"/>
        </w:rPr>
        <w:t xml:space="preserve">Simulated </w:t>
      </w:r>
      <w:r w:rsidR="0061385E" w:rsidRPr="00686CF4">
        <w:rPr>
          <w:i/>
          <w:iCs/>
          <w:sz w:val="22"/>
        </w:rPr>
        <w:t>Gaming</w:t>
      </w:r>
      <w:r w:rsidR="0061385E" w:rsidRPr="00686CF4">
        <w:rPr>
          <w:i/>
          <w:iCs/>
          <w:sz w:val="22"/>
          <w:vertAlign w:val="superscript"/>
        </w:rPr>
        <w:t xml:space="preserve">TM </w:t>
      </w:r>
      <w:r w:rsidR="00FB63AE" w:rsidRPr="00686CF4">
        <w:rPr>
          <w:i/>
          <w:iCs/>
          <w:sz w:val="22"/>
        </w:rPr>
        <w:t>revenues have</w:t>
      </w:r>
      <w:r w:rsidR="0061385E" w:rsidRPr="00686CF4">
        <w:rPr>
          <w:i/>
          <w:iCs/>
          <w:sz w:val="22"/>
        </w:rPr>
        <w:t xml:space="preserve"> grown substantially year on year </w:t>
      </w:r>
      <w:r w:rsidR="00350B75" w:rsidRPr="00686CF4">
        <w:rPr>
          <w:i/>
          <w:iCs/>
          <w:sz w:val="22"/>
        </w:rPr>
        <w:t xml:space="preserve">by over £1.0m </w:t>
      </w:r>
      <w:r w:rsidR="0061385E" w:rsidRPr="00686CF4">
        <w:rPr>
          <w:i/>
          <w:iCs/>
          <w:sz w:val="22"/>
        </w:rPr>
        <w:t xml:space="preserve">and now represent over 41% </w:t>
      </w:r>
      <w:r w:rsidR="00FB63AE" w:rsidRPr="00686CF4">
        <w:rPr>
          <w:i/>
          <w:iCs/>
          <w:sz w:val="22"/>
        </w:rPr>
        <w:t>of overall</w:t>
      </w:r>
      <w:r w:rsidR="0061385E" w:rsidRPr="00686CF4">
        <w:rPr>
          <w:i/>
          <w:iCs/>
          <w:sz w:val="22"/>
        </w:rPr>
        <w:t xml:space="preserve"> revenue. In addition, we have seen encouraging growth in </w:t>
      </w:r>
      <w:r w:rsidRPr="00686CF4">
        <w:rPr>
          <w:i/>
          <w:iCs/>
          <w:sz w:val="22"/>
        </w:rPr>
        <w:t>sustainable market</w:t>
      </w:r>
      <w:r w:rsidR="0061385E" w:rsidRPr="00686CF4">
        <w:rPr>
          <w:i/>
          <w:iCs/>
          <w:sz w:val="22"/>
        </w:rPr>
        <w:t xml:space="preserve"> revenues in both New Jersey in the US and Italy in Europe. The rapid growth in </w:t>
      </w:r>
      <w:r w:rsidRPr="00686CF4">
        <w:rPr>
          <w:i/>
          <w:iCs/>
          <w:sz w:val="22"/>
        </w:rPr>
        <w:t>Simulated Gaming</w:t>
      </w:r>
      <w:r w:rsidRPr="00686CF4">
        <w:rPr>
          <w:i/>
          <w:iCs/>
          <w:sz w:val="22"/>
          <w:vertAlign w:val="superscript"/>
        </w:rPr>
        <w:t>TM</w:t>
      </w:r>
      <w:r w:rsidR="0061385E" w:rsidRPr="00686CF4">
        <w:rPr>
          <w:i/>
          <w:iCs/>
          <w:sz w:val="22"/>
        </w:rPr>
        <w:t xml:space="preserve"> revenues is particularly important as we believe over time they will substantially compensate for the slower than expected pace of the development of real-money Internet gaming in the US.</w:t>
      </w:r>
    </w:p>
    <w:p w14:paraId="377424A6" w14:textId="77777777" w:rsidR="0061385E" w:rsidRPr="00686CF4" w:rsidRDefault="0061385E" w:rsidP="003A208B">
      <w:pPr>
        <w:spacing w:before="100" w:beforeAutospacing="1" w:after="100" w:afterAutospacing="1"/>
        <w:jc w:val="both"/>
        <w:rPr>
          <w:i/>
          <w:iCs/>
          <w:sz w:val="22"/>
        </w:rPr>
      </w:pPr>
      <w:r w:rsidRPr="00686CF4">
        <w:rPr>
          <w:i/>
          <w:iCs/>
          <w:sz w:val="22"/>
        </w:rPr>
        <w:t xml:space="preserve">We have </w:t>
      </w:r>
      <w:r w:rsidR="00350B75" w:rsidRPr="00686CF4">
        <w:rPr>
          <w:i/>
          <w:iCs/>
          <w:sz w:val="22"/>
        </w:rPr>
        <w:t>seen</w:t>
      </w:r>
      <w:r w:rsidRPr="00686CF4">
        <w:rPr>
          <w:i/>
          <w:iCs/>
          <w:sz w:val="22"/>
        </w:rPr>
        <w:t xml:space="preserve"> </w:t>
      </w:r>
      <w:r w:rsidR="00350B75" w:rsidRPr="00686CF4">
        <w:rPr>
          <w:i/>
          <w:iCs/>
          <w:sz w:val="22"/>
        </w:rPr>
        <w:t>continued growth from our Simulated Gaming</w:t>
      </w:r>
      <w:r w:rsidR="00350B75" w:rsidRPr="00686CF4">
        <w:rPr>
          <w:i/>
          <w:iCs/>
          <w:sz w:val="22"/>
          <w:vertAlign w:val="superscript"/>
        </w:rPr>
        <w:t>TM</w:t>
      </w:r>
      <w:r w:rsidR="00350B75" w:rsidRPr="00686CF4">
        <w:rPr>
          <w:i/>
          <w:iCs/>
          <w:sz w:val="22"/>
        </w:rPr>
        <w:t xml:space="preserve"> operators launched in 2014 and have also benefited in the first half of this year from the launch of two new operators; Parx Casino in the key</w:t>
      </w:r>
      <w:r w:rsidR="00DB59AB">
        <w:rPr>
          <w:i/>
          <w:iCs/>
          <w:sz w:val="22"/>
        </w:rPr>
        <w:t xml:space="preserve"> state of Pen</w:t>
      </w:r>
      <w:r w:rsidR="00DB5535">
        <w:rPr>
          <w:i/>
          <w:iCs/>
          <w:sz w:val="22"/>
        </w:rPr>
        <w:t>n</w:t>
      </w:r>
      <w:r w:rsidR="00DB59AB">
        <w:rPr>
          <w:i/>
          <w:iCs/>
          <w:sz w:val="22"/>
        </w:rPr>
        <w:t>sylvania and Club8C</w:t>
      </w:r>
      <w:r w:rsidR="00350B75" w:rsidRPr="00686CF4">
        <w:rPr>
          <w:i/>
          <w:iCs/>
          <w:sz w:val="22"/>
        </w:rPr>
        <w:t>asino</w:t>
      </w:r>
      <w:r w:rsidR="00DB59AB">
        <w:rPr>
          <w:i/>
          <w:iCs/>
          <w:sz w:val="22"/>
        </w:rPr>
        <w:t>.com.au</w:t>
      </w:r>
      <w:r w:rsidR="00350B75" w:rsidRPr="00686CF4">
        <w:rPr>
          <w:i/>
          <w:iCs/>
          <w:sz w:val="22"/>
        </w:rPr>
        <w:t xml:space="preserve"> in Australia - our first Simulated Gaming</w:t>
      </w:r>
      <w:r w:rsidR="00350B75" w:rsidRPr="00686CF4">
        <w:rPr>
          <w:i/>
          <w:iCs/>
          <w:sz w:val="22"/>
          <w:vertAlign w:val="superscript"/>
        </w:rPr>
        <w:t>TM</w:t>
      </w:r>
      <w:r w:rsidR="00350B75" w:rsidRPr="00686CF4">
        <w:rPr>
          <w:i/>
          <w:iCs/>
          <w:sz w:val="22"/>
        </w:rPr>
        <w:t xml:space="preserve"> market outside of our core US market. </w:t>
      </w:r>
      <w:r w:rsidR="00DB27CF" w:rsidRPr="00686CF4">
        <w:rPr>
          <w:i/>
          <w:iCs/>
          <w:sz w:val="22"/>
        </w:rPr>
        <w:t xml:space="preserve">In addition we have signed two additional </w:t>
      </w:r>
      <w:r w:rsidR="00DB59AB">
        <w:rPr>
          <w:i/>
          <w:iCs/>
          <w:sz w:val="22"/>
        </w:rPr>
        <w:t xml:space="preserve">major US casino </w:t>
      </w:r>
      <w:r w:rsidR="00DB27CF" w:rsidRPr="00686CF4">
        <w:rPr>
          <w:i/>
          <w:iCs/>
          <w:sz w:val="22"/>
        </w:rPr>
        <w:t>operators who we believe will significantly grow our reve</w:t>
      </w:r>
      <w:r w:rsidR="00DB59AB">
        <w:rPr>
          <w:i/>
          <w:iCs/>
          <w:sz w:val="22"/>
        </w:rPr>
        <w:t>nue base over time. San Manuel c</w:t>
      </w:r>
      <w:r w:rsidR="00DB27CF" w:rsidRPr="00686CF4">
        <w:rPr>
          <w:i/>
          <w:iCs/>
          <w:sz w:val="22"/>
        </w:rPr>
        <w:t>asino represents our first West Coast operator and widens our footprint in the US market, an important strategic objective, and Maryland Live! Casino in Maryland provides us with an established online</w:t>
      </w:r>
      <w:r w:rsidR="00DB59AB">
        <w:rPr>
          <w:i/>
          <w:iCs/>
          <w:sz w:val="22"/>
        </w:rPr>
        <w:t xml:space="preserve"> free-to-play</w:t>
      </w:r>
      <w:r w:rsidR="00DB27CF" w:rsidRPr="00686CF4">
        <w:rPr>
          <w:i/>
          <w:iCs/>
          <w:sz w:val="22"/>
        </w:rPr>
        <w:t xml:space="preserve"> presence that we </w:t>
      </w:r>
      <w:r w:rsidR="00DB59AB">
        <w:rPr>
          <w:i/>
          <w:iCs/>
          <w:sz w:val="22"/>
        </w:rPr>
        <w:t>will monetise upon migration</w:t>
      </w:r>
      <w:r w:rsidR="00DB27CF" w:rsidRPr="00686CF4">
        <w:rPr>
          <w:i/>
          <w:iCs/>
          <w:sz w:val="22"/>
        </w:rPr>
        <w:t xml:space="preserve">.  </w:t>
      </w:r>
      <w:r w:rsidR="00350B75" w:rsidRPr="00686CF4">
        <w:rPr>
          <w:i/>
          <w:iCs/>
          <w:sz w:val="22"/>
        </w:rPr>
        <w:t>We remain excited by the growth characteristics of Simulated Gaming</w:t>
      </w:r>
      <w:r w:rsidR="00350B75" w:rsidRPr="00686CF4">
        <w:rPr>
          <w:i/>
          <w:iCs/>
          <w:sz w:val="22"/>
          <w:vertAlign w:val="superscript"/>
        </w:rPr>
        <w:t>TM</w:t>
      </w:r>
      <w:r w:rsidR="00350B75" w:rsidRPr="00686CF4">
        <w:rPr>
          <w:i/>
          <w:iCs/>
          <w:sz w:val="22"/>
        </w:rPr>
        <w:t xml:space="preserve"> a</w:t>
      </w:r>
      <w:r w:rsidR="00DB27CF" w:rsidRPr="00686CF4">
        <w:rPr>
          <w:i/>
          <w:iCs/>
          <w:sz w:val="22"/>
        </w:rPr>
        <w:t xml:space="preserve">nd have already seen a major uplift in player activity as we begin to </w:t>
      </w:r>
      <w:r w:rsidR="00350B75" w:rsidRPr="00686CF4">
        <w:rPr>
          <w:i/>
          <w:iCs/>
          <w:sz w:val="22"/>
        </w:rPr>
        <w:t>experience the onset of the seasonally strong Au</w:t>
      </w:r>
      <w:r w:rsidR="00DB59AB">
        <w:rPr>
          <w:i/>
          <w:iCs/>
          <w:sz w:val="22"/>
        </w:rPr>
        <w:t>tumn/Fall period and the commencement of scale acquisition marketing for selected casino clients.</w:t>
      </w:r>
    </w:p>
    <w:p w14:paraId="7DAEC5C0" w14:textId="77777777" w:rsidR="00994873" w:rsidRPr="00686CF4" w:rsidRDefault="00994873" w:rsidP="003A208B">
      <w:pPr>
        <w:spacing w:before="100" w:beforeAutospacing="1" w:after="100" w:afterAutospacing="1"/>
        <w:jc w:val="both"/>
        <w:rPr>
          <w:i/>
          <w:iCs/>
          <w:sz w:val="22"/>
        </w:rPr>
      </w:pPr>
      <w:r w:rsidRPr="00686CF4">
        <w:rPr>
          <w:i/>
          <w:iCs/>
          <w:sz w:val="22"/>
        </w:rPr>
        <w:t>In addition we have experienced further growth in our sustainable real money gaming markets both in New Jersey in the US and in Italy in our European market. This growth is expected to continue for the rest of the year</w:t>
      </w:r>
      <w:r w:rsidR="00686CF4" w:rsidRPr="00686CF4">
        <w:rPr>
          <w:i/>
          <w:iCs/>
          <w:sz w:val="22"/>
        </w:rPr>
        <w:t>.</w:t>
      </w:r>
      <w:r w:rsidRPr="00686CF4">
        <w:rPr>
          <w:i/>
          <w:iCs/>
          <w:sz w:val="22"/>
        </w:rPr>
        <w:t xml:space="preserve"> </w:t>
      </w:r>
    </w:p>
    <w:p w14:paraId="34E54199" w14:textId="77777777" w:rsidR="008D6587" w:rsidRPr="00686CF4" w:rsidRDefault="00DB27CF" w:rsidP="003A208B">
      <w:pPr>
        <w:spacing w:before="100" w:beforeAutospacing="1" w:after="100" w:afterAutospacing="1"/>
        <w:jc w:val="both"/>
        <w:rPr>
          <w:i/>
          <w:iCs/>
          <w:sz w:val="22"/>
        </w:rPr>
      </w:pPr>
      <w:r w:rsidRPr="00686CF4">
        <w:rPr>
          <w:i/>
          <w:iCs/>
          <w:sz w:val="22"/>
        </w:rPr>
        <w:t>As the numbers illustrate o</w:t>
      </w:r>
      <w:r w:rsidR="00794879" w:rsidRPr="00686CF4">
        <w:rPr>
          <w:i/>
          <w:iCs/>
          <w:sz w:val="22"/>
        </w:rPr>
        <w:t>ur inve</w:t>
      </w:r>
      <w:r w:rsidRPr="00686CF4">
        <w:rPr>
          <w:i/>
          <w:iCs/>
          <w:sz w:val="22"/>
        </w:rPr>
        <w:t>stment in the business continues. In line with the growth in Simulated Gaming</w:t>
      </w:r>
      <w:r w:rsidRPr="00686CF4">
        <w:rPr>
          <w:i/>
          <w:iCs/>
          <w:sz w:val="22"/>
          <w:vertAlign w:val="superscript"/>
        </w:rPr>
        <w:t>TM</w:t>
      </w:r>
      <w:r w:rsidRPr="00686CF4">
        <w:rPr>
          <w:i/>
          <w:iCs/>
          <w:sz w:val="22"/>
        </w:rPr>
        <w:t xml:space="preserve"> reveunes we have refocused our underlying investment in our internet gaming system toward additional Simulated Gaming</w:t>
      </w:r>
      <w:r w:rsidRPr="00686CF4">
        <w:rPr>
          <w:i/>
          <w:iCs/>
          <w:sz w:val="22"/>
          <w:vertAlign w:val="superscript"/>
        </w:rPr>
        <w:t>TM</w:t>
      </w:r>
      <w:r w:rsidRPr="00686CF4">
        <w:rPr>
          <w:i/>
          <w:iCs/>
          <w:sz w:val="22"/>
        </w:rPr>
        <w:t xml:space="preserve"> product features and functionality, not least the ability to play </w:t>
      </w:r>
      <w:r w:rsidR="00DB59AB">
        <w:rPr>
          <w:i/>
          <w:iCs/>
          <w:sz w:val="22"/>
        </w:rPr>
        <w:t xml:space="preserve">in </w:t>
      </w:r>
      <w:r w:rsidRPr="00686CF4">
        <w:rPr>
          <w:i/>
          <w:iCs/>
          <w:sz w:val="22"/>
        </w:rPr>
        <w:t xml:space="preserve">real </w:t>
      </w:r>
      <w:r w:rsidR="00DB59AB" w:rsidRPr="00686CF4">
        <w:rPr>
          <w:i/>
          <w:iCs/>
          <w:sz w:val="22"/>
        </w:rPr>
        <w:t>time slots</w:t>
      </w:r>
      <w:r w:rsidR="00DB59AB">
        <w:rPr>
          <w:i/>
          <w:iCs/>
          <w:sz w:val="22"/>
        </w:rPr>
        <w:t xml:space="preserve"> tournaments but also in our registration process which places our clients on a level playing field with social casino operators. </w:t>
      </w:r>
      <w:r w:rsidRPr="00686CF4">
        <w:rPr>
          <w:i/>
          <w:iCs/>
          <w:sz w:val="22"/>
        </w:rPr>
        <w:t xml:space="preserve"> At the same time we have continued to build out our slot content offering through the integration and launch of third p</w:t>
      </w:r>
      <w:r w:rsidR="008D6587" w:rsidRPr="00686CF4">
        <w:rPr>
          <w:i/>
          <w:iCs/>
          <w:sz w:val="22"/>
        </w:rPr>
        <w:t xml:space="preserve">arty games </w:t>
      </w:r>
      <w:r w:rsidR="00DB59AB">
        <w:rPr>
          <w:i/>
          <w:iCs/>
          <w:sz w:val="22"/>
        </w:rPr>
        <w:t>on our Simulated Gaming</w:t>
      </w:r>
      <w:r w:rsidR="00DB59AB">
        <w:rPr>
          <w:i/>
          <w:iCs/>
          <w:sz w:val="22"/>
          <w:vertAlign w:val="superscript"/>
        </w:rPr>
        <w:t>TM</w:t>
      </w:r>
      <w:r w:rsidR="00DB59AB">
        <w:rPr>
          <w:i/>
          <w:iCs/>
          <w:sz w:val="22"/>
        </w:rPr>
        <w:t xml:space="preserve"> platform </w:t>
      </w:r>
      <w:r w:rsidR="008D6587" w:rsidRPr="00686CF4">
        <w:rPr>
          <w:i/>
          <w:iCs/>
          <w:sz w:val="22"/>
        </w:rPr>
        <w:t>such as the recently announced partnership with Net</w:t>
      </w:r>
      <w:r w:rsidR="00DB59AB">
        <w:rPr>
          <w:i/>
          <w:iCs/>
          <w:sz w:val="22"/>
        </w:rPr>
        <w:t xml:space="preserve"> </w:t>
      </w:r>
      <w:r w:rsidR="008D6587" w:rsidRPr="00686CF4">
        <w:rPr>
          <w:i/>
          <w:iCs/>
          <w:sz w:val="22"/>
        </w:rPr>
        <w:t xml:space="preserve">Ent.  </w:t>
      </w:r>
    </w:p>
    <w:p w14:paraId="5A126552" w14:textId="77777777" w:rsidR="00DC7948" w:rsidRDefault="008D6587" w:rsidP="00DC7948">
      <w:pPr>
        <w:jc w:val="both"/>
      </w:pPr>
      <w:r w:rsidRPr="00686CF4">
        <w:rPr>
          <w:i/>
          <w:iCs/>
          <w:sz w:val="22"/>
        </w:rPr>
        <w:t xml:space="preserve">Our financial results continue to be impacted by delays in securing additional system sales but we are actively engaged with multiple casino equipment manufacturers and remain confident in our ability to </w:t>
      </w:r>
      <w:r w:rsidR="00DC7948">
        <w:rPr>
          <w:i/>
          <w:iCs/>
          <w:sz w:val="22"/>
        </w:rPr>
        <w:t>complete a sale either in the fourth quarter of this year or early in 2016.”</w:t>
      </w:r>
    </w:p>
    <w:p w14:paraId="0EC5D35C" w14:textId="77777777" w:rsidR="003D7503" w:rsidRDefault="003D7503" w:rsidP="00D03578">
      <w:pPr>
        <w:pStyle w:val="NormalWeb"/>
        <w:rPr>
          <w:rFonts w:ascii="Times New Roman" w:eastAsiaTheme="minorHAnsi" w:hAnsi="Times New Roman"/>
          <w:b/>
          <w:sz w:val="22"/>
          <w:szCs w:val="22"/>
          <w:lang w:eastAsia="en-US"/>
        </w:rPr>
      </w:pPr>
    </w:p>
    <w:p w14:paraId="564A185C" w14:textId="77777777" w:rsidR="00D03578" w:rsidRPr="00E061C7" w:rsidRDefault="00DC7948" w:rsidP="00D03578">
      <w:pPr>
        <w:pStyle w:val="NormalWeb"/>
        <w:rPr>
          <w:rFonts w:ascii="Times New Roman" w:eastAsiaTheme="minorHAnsi" w:hAnsi="Times New Roman"/>
          <w:b/>
          <w:sz w:val="22"/>
          <w:szCs w:val="22"/>
          <w:lang w:eastAsia="en-US"/>
        </w:rPr>
      </w:pPr>
      <w:r>
        <w:rPr>
          <w:rFonts w:ascii="Times New Roman" w:eastAsiaTheme="minorHAnsi" w:hAnsi="Times New Roman"/>
          <w:b/>
          <w:sz w:val="22"/>
          <w:szCs w:val="22"/>
          <w:lang w:eastAsia="en-US"/>
        </w:rPr>
        <w:t>N</w:t>
      </w:r>
      <w:r w:rsidR="00D03578" w:rsidRPr="00E061C7">
        <w:rPr>
          <w:rFonts w:ascii="Times New Roman" w:eastAsiaTheme="minorHAnsi" w:hAnsi="Times New Roman"/>
          <w:b/>
          <w:sz w:val="22"/>
          <w:szCs w:val="22"/>
          <w:lang w:eastAsia="en-US"/>
        </w:rPr>
        <w:t xml:space="preserve">otes </w:t>
      </w:r>
    </w:p>
    <w:p w14:paraId="73955424" w14:textId="77777777" w:rsidR="00D03578" w:rsidRPr="003A208B" w:rsidRDefault="00D03578" w:rsidP="00D03578">
      <w:pPr>
        <w:widowControl/>
        <w:numPr>
          <w:ilvl w:val="0"/>
          <w:numId w:val="43"/>
        </w:numPr>
        <w:autoSpaceDE/>
        <w:autoSpaceDN/>
        <w:adjustRightInd/>
        <w:spacing w:before="100" w:beforeAutospacing="1" w:after="100" w:afterAutospacing="1"/>
        <w:rPr>
          <w:rFonts w:eastAsiaTheme="minorHAnsi"/>
          <w:sz w:val="18"/>
          <w:szCs w:val="18"/>
          <w:lang w:eastAsia="en-US"/>
        </w:rPr>
      </w:pPr>
      <w:r w:rsidRPr="003A208B">
        <w:rPr>
          <w:rFonts w:eastAsiaTheme="minorHAnsi"/>
          <w:sz w:val="18"/>
          <w:szCs w:val="18"/>
          <w:lang w:eastAsia="en-US"/>
        </w:rPr>
        <w:t xml:space="preserve">Clean EBITDA is a non GAAP company specific measure and excludes interest, tax, depreciation, amortisation, share based payment expense and other items which the directors consider to be non-recurring and one time in nature </w:t>
      </w:r>
    </w:p>
    <w:p w14:paraId="42C9D74C" w14:textId="77777777" w:rsidR="00D03578" w:rsidRPr="00E061C7" w:rsidRDefault="00D03578" w:rsidP="009A6E98">
      <w:pPr>
        <w:pStyle w:val="NormalWeb"/>
        <w:ind w:left="0" w:firstLine="150"/>
        <w:jc w:val="both"/>
        <w:rPr>
          <w:rFonts w:ascii="Times New Roman" w:eastAsiaTheme="minorHAnsi" w:hAnsi="Times New Roman"/>
          <w:b/>
          <w:sz w:val="22"/>
          <w:szCs w:val="22"/>
          <w:lang w:eastAsia="en-US"/>
        </w:rPr>
      </w:pPr>
      <w:r w:rsidRPr="00E061C7">
        <w:rPr>
          <w:rFonts w:ascii="Times New Roman" w:eastAsiaTheme="minorHAnsi" w:hAnsi="Times New Roman"/>
          <w:b/>
          <w:sz w:val="22"/>
          <w:szCs w:val="22"/>
          <w:lang w:eastAsia="en-US"/>
        </w:rPr>
        <w:t xml:space="preserve">Note regarding forward-looking statements </w:t>
      </w:r>
    </w:p>
    <w:p w14:paraId="54555FF1" w14:textId="77777777" w:rsidR="00D03578" w:rsidRPr="003A208B" w:rsidRDefault="00D03578" w:rsidP="003A208B">
      <w:pPr>
        <w:pStyle w:val="NormalWeb"/>
        <w:jc w:val="both"/>
        <w:rPr>
          <w:rFonts w:ascii="Times New Roman" w:eastAsiaTheme="minorHAnsi" w:hAnsi="Times New Roman"/>
          <w:sz w:val="22"/>
          <w:szCs w:val="22"/>
          <w:lang w:eastAsia="en-US"/>
        </w:rPr>
      </w:pPr>
      <w:r w:rsidRPr="00E061C7">
        <w:rPr>
          <w:rFonts w:ascii="Times New Roman" w:eastAsiaTheme="minorHAnsi" w:hAnsi="Times New Roman"/>
          <w:sz w:val="22"/>
          <w:szCs w:val="22"/>
          <w:lang w:eastAsia="en-US"/>
        </w:rPr>
        <w:t xml:space="preserve">This announcement includes forward-looking statements, including statements concerning current expectations about future financial performance and economic and market conditions which </w:t>
      </w:r>
      <w:r w:rsidR="00FD4480">
        <w:rPr>
          <w:rFonts w:ascii="Times New Roman" w:eastAsiaTheme="minorHAnsi" w:hAnsi="Times New Roman"/>
          <w:sz w:val="22"/>
          <w:szCs w:val="22"/>
          <w:lang w:eastAsia="en-US"/>
        </w:rPr>
        <w:t>GAN</w:t>
      </w:r>
      <w:r w:rsidRPr="00E061C7">
        <w:rPr>
          <w:rFonts w:ascii="Times New Roman" w:eastAsiaTheme="minorHAnsi" w:hAnsi="Times New Roman"/>
          <w:sz w:val="22"/>
          <w:szCs w:val="22"/>
          <w:lang w:eastAsia="en-US"/>
        </w:rPr>
        <w:t xml:space="preserve"> believes are reasonable. However, these statements are neither promises nor guarantees, but are subject to risks and uncertainties that could cause actual results to differ materially from those anticipated.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33"/>
        <w:gridCol w:w="85"/>
        <w:gridCol w:w="85"/>
        <w:gridCol w:w="85"/>
        <w:gridCol w:w="2939"/>
      </w:tblGrid>
      <w:tr w:rsidR="00D03578" w:rsidRPr="00D03578" w14:paraId="3D8A2220" w14:textId="77777777" w:rsidTr="00D03578">
        <w:trPr>
          <w:tblCellSpacing w:w="0" w:type="dxa"/>
        </w:trPr>
        <w:tc>
          <w:tcPr>
            <w:tcW w:w="0" w:type="auto"/>
            <w:vAlign w:val="center"/>
            <w:hideMark/>
          </w:tcPr>
          <w:p w14:paraId="6A4E7884" w14:textId="77777777" w:rsidR="00D03578" w:rsidRPr="003A208B" w:rsidRDefault="00D03578">
            <w:pPr>
              <w:pStyle w:val="bwcellpmargin"/>
              <w:rPr>
                <w:rFonts w:eastAsiaTheme="minorHAnsi" w:cstheme="minorBidi"/>
                <w:b/>
                <w:sz w:val="22"/>
                <w:szCs w:val="22"/>
                <w:lang w:eastAsia="en-US"/>
              </w:rPr>
            </w:pPr>
            <w:r w:rsidRPr="003A208B">
              <w:rPr>
                <w:rFonts w:eastAsiaTheme="minorHAnsi" w:cstheme="minorBidi"/>
                <w:b/>
                <w:sz w:val="22"/>
                <w:szCs w:val="22"/>
                <w:lang w:eastAsia="en-US"/>
              </w:rPr>
              <w:t xml:space="preserve">For further information please contact: </w:t>
            </w:r>
          </w:p>
        </w:tc>
        <w:tc>
          <w:tcPr>
            <w:tcW w:w="0" w:type="auto"/>
            <w:gridSpan w:val="4"/>
            <w:vAlign w:val="center"/>
            <w:hideMark/>
          </w:tcPr>
          <w:p w14:paraId="5F72433B" w14:textId="77777777" w:rsidR="00D03578" w:rsidRPr="00D03578" w:rsidRDefault="00D03578">
            <w:pPr>
              <w:rPr>
                <w:rFonts w:eastAsiaTheme="minorHAnsi" w:cstheme="minorBidi"/>
                <w:sz w:val="22"/>
                <w:lang w:eastAsia="en-US"/>
              </w:rPr>
            </w:pPr>
          </w:p>
        </w:tc>
      </w:tr>
      <w:tr w:rsidR="00D03578" w:rsidRPr="00D03578" w14:paraId="6BE02B12" w14:textId="77777777" w:rsidTr="00D03578">
        <w:trPr>
          <w:tblCellSpacing w:w="0" w:type="dxa"/>
        </w:trPr>
        <w:tc>
          <w:tcPr>
            <w:tcW w:w="0" w:type="auto"/>
            <w:vAlign w:val="center"/>
            <w:hideMark/>
          </w:tcPr>
          <w:p w14:paraId="774BEA7B" w14:textId="77777777" w:rsidR="00D03578" w:rsidRPr="00D03578" w:rsidRDefault="00D03578">
            <w:pPr>
              <w:rPr>
                <w:rFonts w:eastAsiaTheme="minorHAnsi" w:cstheme="minorBidi"/>
                <w:sz w:val="22"/>
                <w:lang w:eastAsia="en-US"/>
              </w:rPr>
            </w:pPr>
          </w:p>
        </w:tc>
        <w:tc>
          <w:tcPr>
            <w:tcW w:w="0" w:type="auto"/>
            <w:gridSpan w:val="4"/>
            <w:vAlign w:val="center"/>
            <w:hideMark/>
          </w:tcPr>
          <w:p w14:paraId="366F6E1D"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r>
      <w:tr w:rsidR="00D03578" w:rsidRPr="00D03578" w14:paraId="2B91ADEC" w14:textId="77777777" w:rsidTr="00D03578">
        <w:trPr>
          <w:tblCellSpacing w:w="0" w:type="dxa"/>
        </w:trPr>
        <w:tc>
          <w:tcPr>
            <w:tcW w:w="0" w:type="auto"/>
            <w:vAlign w:val="center"/>
            <w:hideMark/>
          </w:tcPr>
          <w:p w14:paraId="11E137E5" w14:textId="77777777" w:rsidR="00D03578" w:rsidRPr="003A208B" w:rsidRDefault="00FD4480">
            <w:pPr>
              <w:pStyle w:val="bwcellpmargin"/>
              <w:rPr>
                <w:rFonts w:eastAsiaTheme="minorHAnsi" w:cstheme="minorBidi"/>
                <w:b/>
                <w:sz w:val="22"/>
                <w:szCs w:val="22"/>
                <w:lang w:eastAsia="en-US"/>
              </w:rPr>
            </w:pPr>
            <w:r>
              <w:rPr>
                <w:rFonts w:eastAsiaTheme="minorHAnsi" w:cstheme="minorBidi"/>
                <w:b/>
                <w:sz w:val="22"/>
                <w:szCs w:val="22"/>
                <w:lang w:eastAsia="en-US"/>
              </w:rPr>
              <w:t>GAN</w:t>
            </w:r>
            <w:r w:rsidR="00D03578" w:rsidRPr="003A208B">
              <w:rPr>
                <w:rFonts w:eastAsiaTheme="minorHAnsi" w:cstheme="minorBidi"/>
                <w:b/>
                <w:sz w:val="22"/>
                <w:szCs w:val="22"/>
                <w:lang w:eastAsia="en-US"/>
              </w:rPr>
              <w:t xml:space="preserve"> </w:t>
            </w:r>
          </w:p>
        </w:tc>
        <w:tc>
          <w:tcPr>
            <w:tcW w:w="0" w:type="auto"/>
            <w:vAlign w:val="center"/>
            <w:hideMark/>
          </w:tcPr>
          <w:p w14:paraId="082A0477"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c>
          <w:tcPr>
            <w:tcW w:w="0" w:type="auto"/>
            <w:vAlign w:val="center"/>
            <w:hideMark/>
          </w:tcPr>
          <w:p w14:paraId="4EFA0C84"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c>
          <w:tcPr>
            <w:tcW w:w="0" w:type="auto"/>
            <w:vAlign w:val="center"/>
            <w:hideMark/>
          </w:tcPr>
          <w:p w14:paraId="69BF0223"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c>
          <w:tcPr>
            <w:tcW w:w="0" w:type="auto"/>
            <w:vAlign w:val="center"/>
            <w:hideMark/>
          </w:tcPr>
          <w:p w14:paraId="5FC1DEEA" w14:textId="77777777" w:rsidR="00D03578" w:rsidRPr="003A208B" w:rsidRDefault="00D03578">
            <w:pPr>
              <w:pStyle w:val="bwcellpmargin"/>
              <w:rPr>
                <w:rFonts w:eastAsiaTheme="minorHAnsi" w:cstheme="minorBidi"/>
                <w:b/>
                <w:sz w:val="22"/>
                <w:szCs w:val="22"/>
                <w:lang w:eastAsia="en-US"/>
              </w:rPr>
            </w:pPr>
            <w:r w:rsidRPr="003A208B">
              <w:rPr>
                <w:rFonts w:eastAsiaTheme="minorHAnsi" w:cstheme="minorBidi"/>
                <w:b/>
                <w:sz w:val="22"/>
                <w:szCs w:val="22"/>
                <w:lang w:eastAsia="en-US"/>
              </w:rPr>
              <w:t xml:space="preserve">FTI Consulting </w:t>
            </w:r>
          </w:p>
        </w:tc>
      </w:tr>
      <w:tr w:rsidR="00D03578" w:rsidRPr="00D03578" w14:paraId="77B32682" w14:textId="77777777" w:rsidTr="00D03578">
        <w:trPr>
          <w:tblCellSpacing w:w="0" w:type="dxa"/>
        </w:trPr>
        <w:tc>
          <w:tcPr>
            <w:tcW w:w="0" w:type="auto"/>
            <w:vAlign w:val="center"/>
            <w:hideMark/>
          </w:tcPr>
          <w:p w14:paraId="0EC9F454" w14:textId="77777777" w:rsidR="00D03578" w:rsidRPr="00D03578" w:rsidRDefault="00D03578">
            <w:pPr>
              <w:rPr>
                <w:rFonts w:eastAsiaTheme="minorHAnsi" w:cstheme="minorBidi"/>
                <w:sz w:val="22"/>
                <w:lang w:eastAsia="en-US"/>
              </w:rPr>
            </w:pPr>
          </w:p>
        </w:tc>
        <w:tc>
          <w:tcPr>
            <w:tcW w:w="0" w:type="auto"/>
            <w:gridSpan w:val="4"/>
            <w:vAlign w:val="center"/>
            <w:hideMark/>
          </w:tcPr>
          <w:p w14:paraId="74AEF9D4"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r>
      <w:tr w:rsidR="00D03578" w:rsidRPr="00D03578" w14:paraId="6F0B8654" w14:textId="77777777" w:rsidTr="00D03578">
        <w:trPr>
          <w:tblCellSpacing w:w="0" w:type="dxa"/>
        </w:trPr>
        <w:tc>
          <w:tcPr>
            <w:tcW w:w="0" w:type="auto"/>
            <w:vAlign w:val="center"/>
            <w:hideMark/>
          </w:tcPr>
          <w:p w14:paraId="2ED94A08"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Dermot Smurfit </w:t>
            </w:r>
          </w:p>
        </w:tc>
        <w:tc>
          <w:tcPr>
            <w:tcW w:w="0" w:type="auto"/>
            <w:vAlign w:val="center"/>
            <w:hideMark/>
          </w:tcPr>
          <w:p w14:paraId="60F9D1AC" w14:textId="77777777" w:rsidR="00D03578" w:rsidRPr="00D03578" w:rsidRDefault="00D03578">
            <w:pPr>
              <w:rPr>
                <w:rFonts w:eastAsiaTheme="minorHAnsi" w:cstheme="minorBidi"/>
                <w:sz w:val="22"/>
                <w:lang w:eastAsia="en-US"/>
              </w:rPr>
            </w:pPr>
          </w:p>
        </w:tc>
        <w:tc>
          <w:tcPr>
            <w:tcW w:w="0" w:type="auto"/>
            <w:vAlign w:val="center"/>
            <w:hideMark/>
          </w:tcPr>
          <w:p w14:paraId="6AED993C" w14:textId="77777777" w:rsidR="00D03578" w:rsidRPr="00D03578" w:rsidRDefault="00D03578">
            <w:pPr>
              <w:rPr>
                <w:rFonts w:eastAsiaTheme="minorHAnsi" w:cstheme="minorBidi"/>
                <w:sz w:val="22"/>
                <w:lang w:eastAsia="en-US"/>
              </w:rPr>
            </w:pPr>
          </w:p>
        </w:tc>
        <w:tc>
          <w:tcPr>
            <w:tcW w:w="0" w:type="auto"/>
            <w:vAlign w:val="center"/>
            <w:hideMark/>
          </w:tcPr>
          <w:p w14:paraId="381C8643" w14:textId="77777777" w:rsidR="00D03578" w:rsidRPr="00D03578" w:rsidRDefault="00D03578">
            <w:pPr>
              <w:rPr>
                <w:rFonts w:eastAsiaTheme="minorHAnsi" w:cstheme="minorBidi"/>
                <w:sz w:val="22"/>
                <w:lang w:eastAsia="en-US"/>
              </w:rPr>
            </w:pPr>
          </w:p>
        </w:tc>
        <w:tc>
          <w:tcPr>
            <w:tcW w:w="0" w:type="auto"/>
            <w:vAlign w:val="center"/>
            <w:hideMark/>
          </w:tcPr>
          <w:p w14:paraId="39578EBC"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Mark Kenny/Jonathan Neilan </w:t>
            </w:r>
          </w:p>
        </w:tc>
      </w:tr>
      <w:tr w:rsidR="00D03578" w:rsidRPr="00D03578" w14:paraId="6F97F5DD" w14:textId="77777777" w:rsidTr="00D03578">
        <w:trPr>
          <w:tblCellSpacing w:w="0" w:type="dxa"/>
        </w:trPr>
        <w:tc>
          <w:tcPr>
            <w:tcW w:w="0" w:type="auto"/>
            <w:vAlign w:val="center"/>
            <w:hideMark/>
          </w:tcPr>
          <w:p w14:paraId="282D4206"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Chief Executive Officer </w:t>
            </w:r>
          </w:p>
        </w:tc>
        <w:tc>
          <w:tcPr>
            <w:tcW w:w="0" w:type="auto"/>
            <w:vAlign w:val="center"/>
            <w:hideMark/>
          </w:tcPr>
          <w:p w14:paraId="6B4A9D3E" w14:textId="77777777" w:rsidR="00D03578" w:rsidRPr="00D03578" w:rsidRDefault="00D03578">
            <w:pPr>
              <w:rPr>
                <w:rFonts w:eastAsiaTheme="minorHAnsi" w:cstheme="minorBidi"/>
                <w:sz w:val="22"/>
                <w:lang w:eastAsia="en-US"/>
              </w:rPr>
            </w:pPr>
          </w:p>
        </w:tc>
        <w:tc>
          <w:tcPr>
            <w:tcW w:w="0" w:type="auto"/>
            <w:vAlign w:val="center"/>
            <w:hideMark/>
          </w:tcPr>
          <w:p w14:paraId="287F5527" w14:textId="77777777" w:rsidR="00D03578" w:rsidRPr="00D03578" w:rsidRDefault="00D03578">
            <w:pPr>
              <w:rPr>
                <w:rFonts w:eastAsiaTheme="minorHAnsi" w:cstheme="minorBidi"/>
                <w:sz w:val="22"/>
                <w:lang w:eastAsia="en-US"/>
              </w:rPr>
            </w:pPr>
          </w:p>
        </w:tc>
        <w:tc>
          <w:tcPr>
            <w:tcW w:w="0" w:type="auto"/>
            <w:vAlign w:val="center"/>
            <w:hideMark/>
          </w:tcPr>
          <w:p w14:paraId="37F275F0" w14:textId="77777777" w:rsidR="00D03578" w:rsidRPr="00D03578" w:rsidRDefault="00D03578">
            <w:pPr>
              <w:rPr>
                <w:rFonts w:eastAsiaTheme="minorHAnsi" w:cstheme="minorBidi"/>
                <w:sz w:val="22"/>
                <w:lang w:eastAsia="en-US"/>
              </w:rPr>
            </w:pPr>
          </w:p>
        </w:tc>
        <w:tc>
          <w:tcPr>
            <w:tcW w:w="0" w:type="auto"/>
            <w:vAlign w:val="center"/>
            <w:hideMark/>
          </w:tcPr>
          <w:p w14:paraId="6BA33793" w14:textId="77777777" w:rsidR="00D03578" w:rsidRPr="00D03578" w:rsidRDefault="00D03578">
            <w:pPr>
              <w:rPr>
                <w:rFonts w:eastAsiaTheme="minorHAnsi" w:cstheme="minorBidi"/>
                <w:sz w:val="22"/>
                <w:lang w:eastAsia="en-US"/>
              </w:rPr>
            </w:pPr>
          </w:p>
        </w:tc>
      </w:tr>
      <w:tr w:rsidR="00D03578" w:rsidRPr="00D03578" w14:paraId="05929946" w14:textId="77777777" w:rsidTr="00D03578">
        <w:trPr>
          <w:tblCellSpacing w:w="0" w:type="dxa"/>
        </w:trPr>
        <w:tc>
          <w:tcPr>
            <w:tcW w:w="0" w:type="auto"/>
            <w:vAlign w:val="center"/>
            <w:hideMark/>
          </w:tcPr>
          <w:p w14:paraId="33C01C0B"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+44 (0) 20 7292 6262 </w:t>
            </w:r>
          </w:p>
        </w:tc>
        <w:tc>
          <w:tcPr>
            <w:tcW w:w="0" w:type="auto"/>
            <w:vAlign w:val="center"/>
            <w:hideMark/>
          </w:tcPr>
          <w:p w14:paraId="6C00961B" w14:textId="77777777" w:rsidR="00D03578" w:rsidRPr="00D03578" w:rsidRDefault="00D03578">
            <w:pPr>
              <w:rPr>
                <w:rFonts w:eastAsiaTheme="minorHAnsi" w:cstheme="minorBidi"/>
                <w:sz w:val="22"/>
                <w:lang w:eastAsia="en-US"/>
              </w:rPr>
            </w:pPr>
          </w:p>
        </w:tc>
        <w:tc>
          <w:tcPr>
            <w:tcW w:w="0" w:type="auto"/>
            <w:vAlign w:val="center"/>
            <w:hideMark/>
          </w:tcPr>
          <w:p w14:paraId="6D8B67EB" w14:textId="77777777" w:rsidR="00D03578" w:rsidRPr="00D03578" w:rsidRDefault="00D03578">
            <w:pPr>
              <w:rPr>
                <w:rFonts w:eastAsiaTheme="minorHAnsi" w:cstheme="minorBidi"/>
                <w:sz w:val="22"/>
                <w:lang w:eastAsia="en-US"/>
              </w:rPr>
            </w:pPr>
          </w:p>
        </w:tc>
        <w:tc>
          <w:tcPr>
            <w:tcW w:w="0" w:type="auto"/>
            <w:vAlign w:val="center"/>
            <w:hideMark/>
          </w:tcPr>
          <w:p w14:paraId="181E819C" w14:textId="77777777" w:rsidR="00D03578" w:rsidRPr="00D03578" w:rsidRDefault="00D03578">
            <w:pPr>
              <w:rPr>
                <w:rFonts w:eastAsiaTheme="minorHAnsi" w:cstheme="minorBidi"/>
                <w:sz w:val="22"/>
                <w:lang w:eastAsia="en-US"/>
              </w:rPr>
            </w:pPr>
          </w:p>
        </w:tc>
        <w:tc>
          <w:tcPr>
            <w:tcW w:w="0" w:type="auto"/>
            <w:vAlign w:val="center"/>
            <w:hideMark/>
          </w:tcPr>
          <w:p w14:paraId="655EEC0D"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+353 1 6633686 </w:t>
            </w:r>
          </w:p>
        </w:tc>
      </w:tr>
      <w:tr w:rsidR="00D03578" w:rsidRPr="00D03578" w14:paraId="2FFAC0C1" w14:textId="77777777" w:rsidTr="00D03578">
        <w:trPr>
          <w:tblCellSpacing w:w="0" w:type="dxa"/>
        </w:trPr>
        <w:tc>
          <w:tcPr>
            <w:tcW w:w="0" w:type="auto"/>
            <w:vAlign w:val="center"/>
            <w:hideMark/>
          </w:tcPr>
          <w:p w14:paraId="640ED125" w14:textId="77777777" w:rsidR="00D03578" w:rsidRPr="00D03578" w:rsidRDefault="00F70C14" w:rsidP="00FD4480">
            <w:pPr>
              <w:pStyle w:val="bwcellpmargin"/>
              <w:rPr>
                <w:rFonts w:eastAsiaTheme="minorHAnsi" w:cstheme="minorBidi"/>
                <w:sz w:val="22"/>
                <w:szCs w:val="22"/>
                <w:lang w:eastAsia="en-US"/>
              </w:rPr>
            </w:pPr>
            <w:hyperlink r:id="rId8" w:history="1">
              <w:r w:rsidR="00D03578" w:rsidRPr="00D03578">
                <w:rPr>
                  <w:rFonts w:eastAsiaTheme="minorHAnsi" w:cstheme="minorBidi"/>
                  <w:sz w:val="22"/>
                  <w:szCs w:val="22"/>
                  <w:lang w:eastAsia="en-US"/>
                </w:rPr>
                <w:t>dsmurfit@</w:t>
              </w:r>
              <w:r w:rsidR="00FD4480">
                <w:rPr>
                  <w:rFonts w:eastAsiaTheme="minorHAnsi" w:cstheme="minorBidi"/>
                  <w:sz w:val="22"/>
                  <w:szCs w:val="22"/>
                  <w:lang w:eastAsia="en-US"/>
                </w:rPr>
                <w:t>GAN</w:t>
              </w:r>
              <w:r w:rsidR="00D03578" w:rsidRPr="00D03578">
                <w:rPr>
                  <w:rFonts w:eastAsiaTheme="minorHAnsi" w:cstheme="minorBidi"/>
                  <w:sz w:val="22"/>
                  <w:szCs w:val="22"/>
                  <w:lang w:eastAsia="en-US"/>
                </w:rPr>
                <w:t>.com</w:t>
              </w:r>
            </w:hyperlink>
            <w:r w:rsidR="00D03578" w:rsidRPr="00D03578">
              <w:rPr>
                <w:rFonts w:eastAsiaTheme="minorHAnsi" w:cstheme="minorBidi"/>
                <w:sz w:val="22"/>
                <w:szCs w:val="22"/>
                <w:lang w:eastAsia="en-US"/>
              </w:rPr>
              <w:t xml:space="preserve"> </w:t>
            </w:r>
          </w:p>
        </w:tc>
        <w:tc>
          <w:tcPr>
            <w:tcW w:w="0" w:type="auto"/>
            <w:vAlign w:val="center"/>
            <w:hideMark/>
          </w:tcPr>
          <w:p w14:paraId="277A538E" w14:textId="77777777" w:rsidR="00D03578" w:rsidRPr="00D03578" w:rsidRDefault="00D03578">
            <w:pPr>
              <w:rPr>
                <w:rFonts w:eastAsiaTheme="minorHAnsi" w:cstheme="minorBidi"/>
                <w:sz w:val="22"/>
                <w:lang w:eastAsia="en-US"/>
              </w:rPr>
            </w:pPr>
          </w:p>
        </w:tc>
        <w:tc>
          <w:tcPr>
            <w:tcW w:w="0" w:type="auto"/>
            <w:vAlign w:val="center"/>
            <w:hideMark/>
          </w:tcPr>
          <w:p w14:paraId="1AE443A2" w14:textId="77777777" w:rsidR="00D03578" w:rsidRPr="00D03578" w:rsidRDefault="00D03578">
            <w:pPr>
              <w:rPr>
                <w:rFonts w:eastAsiaTheme="minorHAnsi" w:cstheme="minorBidi"/>
                <w:sz w:val="22"/>
                <w:lang w:eastAsia="en-US"/>
              </w:rPr>
            </w:pPr>
          </w:p>
        </w:tc>
        <w:tc>
          <w:tcPr>
            <w:tcW w:w="0" w:type="auto"/>
            <w:vAlign w:val="center"/>
            <w:hideMark/>
          </w:tcPr>
          <w:p w14:paraId="4203578C" w14:textId="77777777" w:rsidR="00D03578" w:rsidRPr="00D03578" w:rsidRDefault="00D03578">
            <w:pPr>
              <w:rPr>
                <w:rFonts w:eastAsiaTheme="minorHAnsi" w:cstheme="minorBidi"/>
                <w:sz w:val="22"/>
                <w:lang w:eastAsia="en-US"/>
              </w:rPr>
            </w:pPr>
          </w:p>
        </w:tc>
        <w:tc>
          <w:tcPr>
            <w:tcW w:w="0" w:type="auto"/>
            <w:vAlign w:val="center"/>
            <w:hideMark/>
          </w:tcPr>
          <w:p w14:paraId="15426A75" w14:textId="77777777" w:rsidR="00D03578" w:rsidRPr="00D03578" w:rsidRDefault="00F70C14">
            <w:pPr>
              <w:pStyle w:val="bwcellpmargin"/>
              <w:rPr>
                <w:rFonts w:eastAsiaTheme="minorHAnsi" w:cstheme="minorBidi"/>
                <w:sz w:val="22"/>
                <w:szCs w:val="22"/>
                <w:lang w:eastAsia="en-US"/>
              </w:rPr>
            </w:pPr>
            <w:hyperlink r:id="rId9" w:history="1">
              <w:r w:rsidR="00D03578" w:rsidRPr="00D03578">
                <w:rPr>
                  <w:rFonts w:eastAsiaTheme="minorHAnsi" w:cstheme="minorBidi"/>
                  <w:sz w:val="22"/>
                  <w:szCs w:val="22"/>
                  <w:lang w:eastAsia="en-US"/>
                </w:rPr>
                <w:t>gameaccount@fticonsulting.com</w:t>
              </w:r>
            </w:hyperlink>
            <w:r w:rsidR="00D03578" w:rsidRPr="00D03578">
              <w:rPr>
                <w:rFonts w:eastAsiaTheme="minorHAnsi" w:cstheme="minorBidi"/>
                <w:sz w:val="22"/>
                <w:szCs w:val="22"/>
                <w:lang w:eastAsia="en-US"/>
              </w:rPr>
              <w:t xml:space="preserve"> </w:t>
            </w:r>
          </w:p>
        </w:tc>
      </w:tr>
      <w:tr w:rsidR="00D03578" w:rsidRPr="00D03578" w14:paraId="17124B7A" w14:textId="77777777" w:rsidTr="00D03578">
        <w:trPr>
          <w:tblCellSpacing w:w="0" w:type="dxa"/>
        </w:trPr>
        <w:tc>
          <w:tcPr>
            <w:tcW w:w="0" w:type="auto"/>
            <w:vAlign w:val="center"/>
            <w:hideMark/>
          </w:tcPr>
          <w:p w14:paraId="41C17312" w14:textId="77777777" w:rsidR="00D03578" w:rsidRPr="00D03578" w:rsidRDefault="00D03578">
            <w:pPr>
              <w:rPr>
                <w:rFonts w:eastAsiaTheme="minorHAnsi" w:cstheme="minorBidi"/>
                <w:sz w:val="22"/>
                <w:lang w:eastAsia="en-US"/>
              </w:rPr>
            </w:pPr>
          </w:p>
        </w:tc>
        <w:tc>
          <w:tcPr>
            <w:tcW w:w="0" w:type="auto"/>
            <w:vAlign w:val="center"/>
            <w:hideMark/>
          </w:tcPr>
          <w:p w14:paraId="356853E7" w14:textId="77777777" w:rsidR="00D03578" w:rsidRPr="00D03578" w:rsidRDefault="00D03578">
            <w:pPr>
              <w:rPr>
                <w:rFonts w:eastAsiaTheme="minorHAnsi" w:cstheme="minorBidi"/>
                <w:sz w:val="22"/>
                <w:lang w:eastAsia="en-US"/>
              </w:rPr>
            </w:pPr>
          </w:p>
        </w:tc>
        <w:tc>
          <w:tcPr>
            <w:tcW w:w="0" w:type="auto"/>
            <w:vAlign w:val="center"/>
            <w:hideMark/>
          </w:tcPr>
          <w:p w14:paraId="7E67A100" w14:textId="77777777" w:rsidR="00D03578" w:rsidRPr="00D03578" w:rsidRDefault="00D03578">
            <w:pPr>
              <w:rPr>
                <w:rFonts w:eastAsiaTheme="minorHAnsi" w:cstheme="minorBidi"/>
                <w:sz w:val="22"/>
                <w:lang w:eastAsia="en-US"/>
              </w:rPr>
            </w:pPr>
          </w:p>
        </w:tc>
        <w:tc>
          <w:tcPr>
            <w:tcW w:w="0" w:type="auto"/>
            <w:vAlign w:val="center"/>
            <w:hideMark/>
          </w:tcPr>
          <w:p w14:paraId="68988644" w14:textId="77777777" w:rsidR="00D03578" w:rsidRPr="00D03578" w:rsidRDefault="00D03578">
            <w:pPr>
              <w:rPr>
                <w:rFonts w:eastAsiaTheme="minorHAnsi" w:cstheme="minorBidi"/>
                <w:sz w:val="22"/>
                <w:lang w:eastAsia="en-US"/>
              </w:rPr>
            </w:pPr>
          </w:p>
        </w:tc>
        <w:tc>
          <w:tcPr>
            <w:tcW w:w="0" w:type="auto"/>
            <w:vAlign w:val="center"/>
            <w:hideMark/>
          </w:tcPr>
          <w:p w14:paraId="3E63D5EA" w14:textId="77777777" w:rsidR="00D03578" w:rsidRPr="00D03578" w:rsidRDefault="00D03578">
            <w:pPr>
              <w:rPr>
                <w:rFonts w:eastAsiaTheme="minorHAnsi" w:cstheme="minorBidi"/>
                <w:sz w:val="22"/>
                <w:lang w:eastAsia="en-US"/>
              </w:rPr>
            </w:pPr>
            <w:r w:rsidRPr="00D03578">
              <w:rPr>
                <w:rFonts w:eastAsiaTheme="minorHAnsi" w:cstheme="minorBidi"/>
                <w:sz w:val="22"/>
                <w:lang w:eastAsia="en-US"/>
              </w:rPr>
              <w:t xml:space="preserve">  </w:t>
            </w:r>
          </w:p>
        </w:tc>
      </w:tr>
      <w:tr w:rsidR="00D03578" w:rsidRPr="00D03578" w14:paraId="3691FFBE" w14:textId="77777777" w:rsidTr="00D03578">
        <w:trPr>
          <w:tblCellSpacing w:w="0" w:type="dxa"/>
        </w:trPr>
        <w:tc>
          <w:tcPr>
            <w:tcW w:w="0" w:type="auto"/>
            <w:vAlign w:val="center"/>
            <w:hideMark/>
          </w:tcPr>
          <w:p w14:paraId="33E63627" w14:textId="77777777" w:rsidR="00D03578" w:rsidRPr="003A208B" w:rsidRDefault="00D03578">
            <w:pPr>
              <w:pStyle w:val="bwcellpmargin"/>
              <w:rPr>
                <w:rFonts w:eastAsiaTheme="minorHAnsi" w:cstheme="minorBidi"/>
                <w:b/>
                <w:sz w:val="22"/>
                <w:szCs w:val="22"/>
                <w:lang w:eastAsia="en-US"/>
              </w:rPr>
            </w:pPr>
            <w:r w:rsidRPr="003A208B">
              <w:rPr>
                <w:rFonts w:eastAsiaTheme="minorHAnsi" w:cstheme="minorBidi"/>
                <w:b/>
                <w:sz w:val="22"/>
                <w:szCs w:val="22"/>
                <w:lang w:eastAsia="en-US"/>
              </w:rPr>
              <w:t xml:space="preserve">Davy </w:t>
            </w:r>
          </w:p>
        </w:tc>
        <w:tc>
          <w:tcPr>
            <w:tcW w:w="0" w:type="auto"/>
            <w:vAlign w:val="center"/>
            <w:hideMark/>
          </w:tcPr>
          <w:p w14:paraId="21B83DCD" w14:textId="77777777" w:rsidR="00D03578" w:rsidRPr="00D03578" w:rsidRDefault="00D03578">
            <w:pPr>
              <w:rPr>
                <w:rFonts w:eastAsiaTheme="minorHAnsi" w:cstheme="minorBidi"/>
                <w:sz w:val="22"/>
                <w:lang w:eastAsia="en-US"/>
              </w:rPr>
            </w:pPr>
          </w:p>
        </w:tc>
        <w:tc>
          <w:tcPr>
            <w:tcW w:w="0" w:type="auto"/>
            <w:vAlign w:val="center"/>
            <w:hideMark/>
          </w:tcPr>
          <w:p w14:paraId="3427ADD3" w14:textId="77777777" w:rsidR="00D03578" w:rsidRPr="00D03578" w:rsidRDefault="00D03578">
            <w:pPr>
              <w:rPr>
                <w:rFonts w:eastAsiaTheme="minorHAnsi" w:cstheme="minorBidi"/>
                <w:sz w:val="22"/>
                <w:lang w:eastAsia="en-US"/>
              </w:rPr>
            </w:pPr>
          </w:p>
        </w:tc>
        <w:tc>
          <w:tcPr>
            <w:tcW w:w="0" w:type="auto"/>
            <w:vAlign w:val="center"/>
            <w:hideMark/>
          </w:tcPr>
          <w:p w14:paraId="71445503" w14:textId="77777777" w:rsidR="00D03578" w:rsidRPr="00D03578" w:rsidRDefault="00D03578">
            <w:pPr>
              <w:rPr>
                <w:rFonts w:eastAsiaTheme="minorHAnsi" w:cstheme="minorBidi"/>
                <w:sz w:val="22"/>
                <w:lang w:eastAsia="en-US"/>
              </w:rPr>
            </w:pPr>
          </w:p>
        </w:tc>
        <w:tc>
          <w:tcPr>
            <w:tcW w:w="0" w:type="auto"/>
            <w:vAlign w:val="center"/>
            <w:hideMark/>
          </w:tcPr>
          <w:p w14:paraId="657E3A5D" w14:textId="77777777" w:rsidR="00D03578" w:rsidRPr="00D03578" w:rsidRDefault="00D03578">
            <w:pPr>
              <w:rPr>
                <w:rFonts w:eastAsiaTheme="minorHAnsi" w:cstheme="minorBidi"/>
                <w:sz w:val="22"/>
                <w:lang w:eastAsia="en-US"/>
              </w:rPr>
            </w:pPr>
          </w:p>
        </w:tc>
      </w:tr>
      <w:tr w:rsidR="00D03578" w:rsidRPr="00D03578" w14:paraId="3642191A" w14:textId="77777777" w:rsidTr="00D03578">
        <w:trPr>
          <w:tblCellSpacing w:w="0" w:type="dxa"/>
        </w:trPr>
        <w:tc>
          <w:tcPr>
            <w:tcW w:w="0" w:type="auto"/>
            <w:vAlign w:val="center"/>
            <w:hideMark/>
          </w:tcPr>
          <w:p w14:paraId="1A0CDC77" w14:textId="77777777" w:rsidR="00D03578" w:rsidRPr="00D03578" w:rsidRDefault="00D03578">
            <w:pPr>
              <w:pStyle w:val="bwcellpmargin"/>
              <w:rPr>
                <w:rFonts w:eastAsiaTheme="minorHAnsi" w:cstheme="minorBidi"/>
                <w:sz w:val="22"/>
                <w:szCs w:val="22"/>
                <w:lang w:eastAsia="en-US"/>
              </w:rPr>
            </w:pPr>
            <w:r w:rsidRPr="00D03578">
              <w:rPr>
                <w:rFonts w:eastAsiaTheme="minorHAnsi" w:cstheme="minorBidi"/>
                <w:sz w:val="22"/>
                <w:szCs w:val="22"/>
                <w:lang w:eastAsia="en-US"/>
              </w:rPr>
              <w:t xml:space="preserve">John Frain / Roland French </w:t>
            </w:r>
          </w:p>
        </w:tc>
        <w:tc>
          <w:tcPr>
            <w:tcW w:w="0" w:type="auto"/>
            <w:vAlign w:val="center"/>
            <w:hideMark/>
          </w:tcPr>
          <w:p w14:paraId="7A727CCC" w14:textId="77777777" w:rsidR="00D03578" w:rsidRPr="00D03578" w:rsidRDefault="00D03578">
            <w:pPr>
              <w:rPr>
                <w:rFonts w:eastAsiaTheme="minorHAnsi" w:cstheme="minorBidi"/>
                <w:sz w:val="22"/>
                <w:lang w:eastAsia="en-US"/>
              </w:rPr>
            </w:pPr>
          </w:p>
        </w:tc>
        <w:tc>
          <w:tcPr>
            <w:tcW w:w="0" w:type="auto"/>
            <w:vAlign w:val="center"/>
            <w:hideMark/>
          </w:tcPr>
          <w:p w14:paraId="152A8776" w14:textId="77777777" w:rsidR="00D03578" w:rsidRPr="00D03578" w:rsidRDefault="00D03578">
            <w:pPr>
              <w:rPr>
                <w:rFonts w:eastAsiaTheme="minorHAnsi" w:cstheme="minorBidi"/>
                <w:sz w:val="22"/>
                <w:lang w:eastAsia="en-US"/>
              </w:rPr>
            </w:pPr>
          </w:p>
        </w:tc>
        <w:tc>
          <w:tcPr>
            <w:tcW w:w="0" w:type="auto"/>
            <w:vAlign w:val="center"/>
            <w:hideMark/>
          </w:tcPr>
          <w:p w14:paraId="1B9B7C55" w14:textId="77777777" w:rsidR="00D03578" w:rsidRPr="00D03578" w:rsidRDefault="00D03578">
            <w:pPr>
              <w:rPr>
                <w:rFonts w:eastAsiaTheme="minorHAnsi" w:cstheme="minorBidi"/>
                <w:sz w:val="22"/>
                <w:lang w:eastAsia="en-US"/>
              </w:rPr>
            </w:pPr>
          </w:p>
        </w:tc>
        <w:tc>
          <w:tcPr>
            <w:tcW w:w="0" w:type="auto"/>
            <w:vAlign w:val="center"/>
            <w:hideMark/>
          </w:tcPr>
          <w:p w14:paraId="36FD80C7" w14:textId="77777777" w:rsidR="00D03578" w:rsidRPr="00D03578" w:rsidRDefault="00D03578">
            <w:pPr>
              <w:rPr>
                <w:rFonts w:eastAsiaTheme="minorHAnsi" w:cstheme="minorBidi"/>
                <w:sz w:val="22"/>
                <w:lang w:eastAsia="en-US"/>
              </w:rPr>
            </w:pPr>
          </w:p>
        </w:tc>
      </w:tr>
      <w:tr w:rsidR="00D03578" w:rsidRPr="00D03578" w14:paraId="7FC5241D" w14:textId="77777777" w:rsidTr="00D03578">
        <w:trPr>
          <w:tblCellSpacing w:w="0" w:type="dxa"/>
        </w:trPr>
        <w:tc>
          <w:tcPr>
            <w:tcW w:w="0" w:type="auto"/>
            <w:vAlign w:val="center"/>
            <w:hideMark/>
          </w:tcPr>
          <w:p w14:paraId="20C9C6E0" w14:textId="77777777" w:rsidR="00D03578" w:rsidRPr="00D03578" w:rsidRDefault="00D03578">
            <w:pPr>
              <w:pStyle w:val="bwcellpmargin"/>
              <w:rPr>
                <w:rFonts w:eastAsiaTheme="minorHAnsi" w:cstheme="minorBidi"/>
                <w:sz w:val="22"/>
                <w:szCs w:val="22"/>
                <w:lang w:eastAsia="en-US"/>
              </w:rPr>
            </w:pPr>
            <w:r w:rsidRPr="00D03578">
              <w:rPr>
                <w:rFonts w:eastAsiaTheme="minorHAnsi" w:cstheme="minorBidi"/>
                <w:sz w:val="22"/>
                <w:szCs w:val="22"/>
                <w:lang w:eastAsia="en-US"/>
              </w:rPr>
              <w:t xml:space="preserve">+353 1 679 6363 </w:t>
            </w:r>
          </w:p>
        </w:tc>
        <w:tc>
          <w:tcPr>
            <w:tcW w:w="0" w:type="auto"/>
            <w:vAlign w:val="center"/>
            <w:hideMark/>
          </w:tcPr>
          <w:p w14:paraId="77DF3D56" w14:textId="77777777" w:rsidR="00D03578" w:rsidRPr="00D03578" w:rsidRDefault="00D03578">
            <w:pPr>
              <w:rPr>
                <w:rFonts w:eastAsiaTheme="minorHAnsi" w:cstheme="minorBidi"/>
                <w:sz w:val="22"/>
                <w:lang w:eastAsia="en-US"/>
              </w:rPr>
            </w:pPr>
          </w:p>
        </w:tc>
        <w:tc>
          <w:tcPr>
            <w:tcW w:w="0" w:type="auto"/>
            <w:vAlign w:val="center"/>
            <w:hideMark/>
          </w:tcPr>
          <w:p w14:paraId="4A4114C3" w14:textId="77777777" w:rsidR="00D03578" w:rsidRPr="00D03578" w:rsidRDefault="00D03578">
            <w:pPr>
              <w:rPr>
                <w:rFonts w:eastAsiaTheme="minorHAnsi" w:cstheme="minorBidi"/>
                <w:sz w:val="22"/>
                <w:lang w:eastAsia="en-US"/>
              </w:rPr>
            </w:pPr>
          </w:p>
        </w:tc>
        <w:tc>
          <w:tcPr>
            <w:tcW w:w="0" w:type="auto"/>
            <w:vAlign w:val="center"/>
            <w:hideMark/>
          </w:tcPr>
          <w:p w14:paraId="3DC654E2" w14:textId="77777777" w:rsidR="00D03578" w:rsidRPr="00D03578" w:rsidRDefault="00D03578">
            <w:pPr>
              <w:rPr>
                <w:rFonts w:eastAsiaTheme="minorHAnsi" w:cstheme="minorBidi"/>
                <w:sz w:val="22"/>
                <w:lang w:eastAsia="en-US"/>
              </w:rPr>
            </w:pPr>
          </w:p>
        </w:tc>
        <w:tc>
          <w:tcPr>
            <w:tcW w:w="0" w:type="auto"/>
            <w:vAlign w:val="center"/>
            <w:hideMark/>
          </w:tcPr>
          <w:p w14:paraId="7CB325FC" w14:textId="77777777" w:rsidR="00D03578" w:rsidRPr="00D03578" w:rsidRDefault="00D03578">
            <w:pPr>
              <w:rPr>
                <w:rFonts w:eastAsiaTheme="minorHAnsi" w:cstheme="minorBidi"/>
                <w:sz w:val="22"/>
                <w:lang w:eastAsia="en-US"/>
              </w:rPr>
            </w:pPr>
          </w:p>
        </w:tc>
      </w:tr>
    </w:tbl>
    <w:p w14:paraId="49075835" w14:textId="77777777" w:rsidR="0020152C" w:rsidRPr="00D03578" w:rsidRDefault="0020152C" w:rsidP="000C2371">
      <w:pPr>
        <w:spacing w:before="100" w:beforeAutospacing="1" w:after="100" w:afterAutospacing="1"/>
        <w:rPr>
          <w:rFonts w:eastAsiaTheme="minorHAnsi" w:cstheme="minorBidi"/>
          <w:sz w:val="22"/>
          <w:lang w:eastAsia="en-US"/>
        </w:rPr>
      </w:pPr>
    </w:p>
    <w:p w14:paraId="39CFC3D8" w14:textId="77777777" w:rsidR="00FE79A5" w:rsidRPr="003A208B" w:rsidRDefault="00FE79A5" w:rsidP="003A208B">
      <w:pPr>
        <w:spacing w:before="100" w:beforeAutospacing="1" w:after="100" w:afterAutospacing="1"/>
        <w:jc w:val="both"/>
        <w:rPr>
          <w:b/>
          <w:iCs/>
          <w:color w:val="000000"/>
          <w:sz w:val="22"/>
        </w:rPr>
      </w:pPr>
      <w:r w:rsidRPr="003A208B">
        <w:rPr>
          <w:b/>
          <w:iCs/>
          <w:color w:val="000000"/>
          <w:sz w:val="22"/>
        </w:rPr>
        <w:t>Half Year Results Conference Call Details</w:t>
      </w:r>
    </w:p>
    <w:p w14:paraId="72990018"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 xml:space="preserve">The </w:t>
      </w:r>
      <w:r w:rsidR="00FD4480">
        <w:rPr>
          <w:iCs/>
          <w:color w:val="000000"/>
          <w:sz w:val="22"/>
        </w:rPr>
        <w:t>GAN</w:t>
      </w:r>
      <w:r w:rsidRPr="003A208B">
        <w:rPr>
          <w:iCs/>
          <w:color w:val="000000"/>
          <w:sz w:val="22"/>
        </w:rPr>
        <w:t xml:space="preserve"> management team will host a conference call for analysts &amp; institutional investors at 08.00 BST (03.00 EST). </w:t>
      </w:r>
    </w:p>
    <w:p w14:paraId="72A5959F"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Please use the following dial in numbers:</w:t>
      </w:r>
    </w:p>
    <w:p w14:paraId="5569ED2C"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UK/International Participants:                      +44 203 139 4830</w:t>
      </w:r>
    </w:p>
    <w:p w14:paraId="5BBC86ED"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 xml:space="preserve">US Participants:               </w:t>
      </w:r>
      <w:r w:rsidRPr="00FE79A5">
        <w:rPr>
          <w:iCs/>
          <w:color w:val="000000"/>
          <w:sz w:val="22"/>
        </w:rPr>
        <w:t xml:space="preserve">                           </w:t>
      </w:r>
      <w:r>
        <w:rPr>
          <w:iCs/>
          <w:color w:val="000000"/>
          <w:sz w:val="22"/>
        </w:rPr>
        <w:t xml:space="preserve">  </w:t>
      </w:r>
      <w:r w:rsidRPr="003A208B">
        <w:rPr>
          <w:iCs/>
          <w:color w:val="000000"/>
          <w:sz w:val="22"/>
        </w:rPr>
        <w:t>+1 718 873 9077</w:t>
      </w:r>
    </w:p>
    <w:p w14:paraId="6A91190C"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 xml:space="preserve">Ireland Participants:                                     </w:t>
      </w:r>
      <w:r>
        <w:rPr>
          <w:iCs/>
          <w:color w:val="000000"/>
          <w:sz w:val="22"/>
        </w:rPr>
        <w:t xml:space="preserve"> </w:t>
      </w:r>
      <w:r w:rsidRPr="00FE79A5">
        <w:rPr>
          <w:iCs/>
          <w:color w:val="000000"/>
          <w:sz w:val="22"/>
        </w:rPr>
        <w:t>+353 1 696 8154</w:t>
      </w:r>
    </w:p>
    <w:p w14:paraId="5B7AD13A" w14:textId="77777777" w:rsidR="00FE79A5" w:rsidRPr="003A208B" w:rsidRDefault="00FE79A5" w:rsidP="003A208B">
      <w:pPr>
        <w:spacing w:before="100" w:beforeAutospacing="1" w:after="100" w:afterAutospacing="1"/>
        <w:jc w:val="both"/>
        <w:rPr>
          <w:iCs/>
          <w:color w:val="000000"/>
          <w:sz w:val="22"/>
        </w:rPr>
      </w:pPr>
      <w:r w:rsidRPr="003A208B">
        <w:rPr>
          <w:iCs/>
          <w:color w:val="000000"/>
          <w:sz w:val="22"/>
        </w:rPr>
        <w:t xml:space="preserve">Participant Pin Code:                                    </w:t>
      </w:r>
      <w:r>
        <w:rPr>
          <w:iCs/>
          <w:color w:val="000000"/>
          <w:sz w:val="22"/>
        </w:rPr>
        <w:t xml:space="preserve"> </w:t>
      </w:r>
      <w:r w:rsidR="006B036C">
        <w:t>49243897#</w:t>
      </w:r>
      <w:r w:rsidRPr="003A208B">
        <w:rPr>
          <w:iCs/>
          <w:color w:val="000000"/>
          <w:sz w:val="22"/>
        </w:rPr>
        <w:t xml:space="preserve">                           </w:t>
      </w:r>
    </w:p>
    <w:p w14:paraId="11B97F2E" w14:textId="77777777" w:rsidR="0020152C" w:rsidRPr="003A208B" w:rsidRDefault="00FE79A5" w:rsidP="003A208B">
      <w:pPr>
        <w:spacing w:before="100" w:beforeAutospacing="1" w:after="100" w:afterAutospacing="1"/>
        <w:jc w:val="both"/>
        <w:rPr>
          <w:iCs/>
          <w:color w:val="000000"/>
          <w:sz w:val="22"/>
        </w:rPr>
      </w:pPr>
      <w:r w:rsidRPr="003A208B">
        <w:rPr>
          <w:iCs/>
          <w:color w:val="000000"/>
          <w:sz w:val="22"/>
        </w:rPr>
        <w:t xml:space="preserve">The Half Year Results Press Release and Presentation is available to download from the website, </w:t>
      </w:r>
      <w:hyperlink r:id="rId10" w:history="1">
        <w:r w:rsidR="00FB63AE" w:rsidRPr="000B34BF">
          <w:rPr>
            <w:rStyle w:val="Hyperlink"/>
            <w:iCs/>
            <w:sz w:val="22"/>
          </w:rPr>
          <w:t>www.GAN.com</w:t>
        </w:r>
      </w:hyperlink>
    </w:p>
    <w:p w14:paraId="1450CAC6" w14:textId="77777777" w:rsidR="00FE79A5" w:rsidRPr="003A208B" w:rsidRDefault="00FE79A5" w:rsidP="00FE79A5">
      <w:pPr>
        <w:spacing w:before="100" w:beforeAutospacing="1" w:after="100" w:afterAutospacing="1"/>
        <w:rPr>
          <w:rFonts w:ascii="Arial" w:hAnsi="Arial" w:cs="Arial"/>
          <w:iCs/>
          <w:color w:val="000000"/>
        </w:rPr>
      </w:pPr>
    </w:p>
    <w:p w14:paraId="7A7FD735" w14:textId="77777777" w:rsidR="0020152C" w:rsidRDefault="0020152C" w:rsidP="000C2371">
      <w:pPr>
        <w:spacing w:before="100" w:beforeAutospacing="1" w:after="100" w:afterAutospacing="1"/>
        <w:rPr>
          <w:rFonts w:ascii="Arial" w:hAnsi="Arial" w:cs="Arial"/>
          <w:i/>
          <w:iCs/>
          <w:color w:val="000000"/>
        </w:rPr>
      </w:pPr>
    </w:p>
    <w:p w14:paraId="156FFED2" w14:textId="77777777" w:rsidR="0020152C" w:rsidRDefault="0020152C" w:rsidP="000C2371">
      <w:pPr>
        <w:spacing w:before="100" w:beforeAutospacing="1" w:after="100" w:afterAutospacing="1"/>
        <w:rPr>
          <w:rFonts w:ascii="Arial" w:hAnsi="Arial" w:cs="Arial"/>
          <w:i/>
          <w:iCs/>
          <w:color w:val="000000"/>
        </w:rPr>
      </w:pPr>
    </w:p>
    <w:p w14:paraId="048F8DCB" w14:textId="77777777" w:rsidR="0020152C" w:rsidRDefault="0020152C" w:rsidP="000C2371">
      <w:pPr>
        <w:spacing w:before="100" w:beforeAutospacing="1" w:after="100" w:afterAutospacing="1"/>
        <w:rPr>
          <w:rFonts w:ascii="Arial" w:hAnsi="Arial" w:cs="Arial"/>
          <w:i/>
          <w:iCs/>
          <w:color w:val="000000"/>
        </w:rPr>
      </w:pPr>
    </w:p>
    <w:p w14:paraId="123F4D83" w14:textId="77777777" w:rsidR="0020152C" w:rsidRDefault="0020152C" w:rsidP="000C2371">
      <w:pPr>
        <w:spacing w:before="100" w:beforeAutospacing="1" w:after="100" w:afterAutospacing="1"/>
        <w:rPr>
          <w:rFonts w:ascii="Arial" w:hAnsi="Arial" w:cs="Arial"/>
          <w:i/>
          <w:iCs/>
          <w:color w:val="000000"/>
        </w:rPr>
      </w:pPr>
    </w:p>
    <w:p w14:paraId="218D46E0" w14:textId="77777777" w:rsidR="0020152C" w:rsidRDefault="0020152C" w:rsidP="000C2371">
      <w:pPr>
        <w:spacing w:before="100" w:beforeAutospacing="1" w:after="100" w:afterAutospacing="1"/>
        <w:rPr>
          <w:rFonts w:ascii="Arial" w:hAnsi="Arial" w:cs="Arial"/>
          <w:i/>
          <w:iCs/>
          <w:color w:val="000000"/>
        </w:rPr>
      </w:pPr>
    </w:p>
    <w:p w14:paraId="43E4C043" w14:textId="77777777" w:rsidR="0020152C" w:rsidRDefault="0020152C" w:rsidP="000C2371">
      <w:pPr>
        <w:spacing w:before="100" w:beforeAutospacing="1" w:after="100" w:afterAutospacing="1"/>
        <w:rPr>
          <w:rFonts w:ascii="Arial" w:hAnsi="Arial" w:cs="Arial"/>
          <w:i/>
          <w:iCs/>
          <w:color w:val="000000"/>
        </w:rPr>
      </w:pPr>
    </w:p>
    <w:p w14:paraId="39B0AFB8" w14:textId="77777777" w:rsidR="0020152C" w:rsidRPr="000C2371" w:rsidRDefault="0020152C" w:rsidP="000C2371">
      <w:pPr>
        <w:spacing w:before="100" w:beforeAutospacing="1" w:after="100" w:afterAutospacing="1"/>
        <w:rPr>
          <w:i/>
          <w:sz w:val="24"/>
          <w:szCs w:val="24"/>
        </w:rPr>
      </w:pPr>
    </w:p>
    <w:p w14:paraId="4A51F677" w14:textId="77777777" w:rsidR="000C2371" w:rsidRPr="00C5329C" w:rsidRDefault="000C2371" w:rsidP="00AB4320">
      <w:pPr>
        <w:pStyle w:val="ListParagraph"/>
        <w:spacing w:after="0" w:line="240" w:lineRule="auto"/>
        <w:ind w:left="360"/>
        <w:jc w:val="both"/>
        <w:rPr>
          <w:rFonts w:ascii="Times New Roman" w:hAnsi="Times New Roman"/>
          <w:highlight w:val="yellow"/>
        </w:rPr>
      </w:pPr>
    </w:p>
    <w:p w14:paraId="45691E27" w14:textId="77777777" w:rsidR="00AB4320" w:rsidRDefault="00AB4320" w:rsidP="00AB4320">
      <w:pPr>
        <w:keepNext/>
        <w:keepLines/>
        <w:widowControl/>
        <w:tabs>
          <w:tab w:val="left" w:pos="720"/>
          <w:tab w:val="left" w:pos="1440"/>
          <w:tab w:val="center" w:pos="5400"/>
        </w:tabs>
        <w:suppressAutoHyphens/>
        <w:spacing w:after="240"/>
        <w:jc w:val="center"/>
        <w:rPr>
          <w:b/>
          <w:bCs/>
          <w:sz w:val="24"/>
          <w:szCs w:val="24"/>
          <w:lang w:val="en-US"/>
        </w:rPr>
      </w:pPr>
    </w:p>
    <w:p w14:paraId="6CB69FB9" w14:textId="77777777" w:rsidR="00AB4320" w:rsidRDefault="00AB4320" w:rsidP="00AB4320">
      <w:pPr>
        <w:keepNext/>
        <w:keepLines/>
        <w:widowControl/>
        <w:tabs>
          <w:tab w:val="left" w:pos="720"/>
          <w:tab w:val="left" w:pos="1440"/>
          <w:tab w:val="center" w:pos="5400"/>
        </w:tabs>
        <w:suppressAutoHyphens/>
        <w:spacing w:after="240"/>
        <w:jc w:val="center"/>
        <w:rPr>
          <w:b/>
          <w:bCs/>
          <w:sz w:val="24"/>
          <w:szCs w:val="24"/>
          <w:lang w:val="en-US"/>
        </w:rPr>
      </w:pPr>
    </w:p>
    <w:p w14:paraId="351A6914" w14:textId="77777777" w:rsidR="00B83CAC" w:rsidRDefault="00B83CAC">
      <w:pPr>
        <w:widowControl/>
        <w:autoSpaceDE/>
        <w:autoSpaceDN/>
        <w:adjustRightInd/>
        <w:rPr>
          <w:b/>
          <w:bCs/>
          <w:sz w:val="24"/>
          <w:szCs w:val="24"/>
          <w:lang w:val="en-US"/>
        </w:rPr>
      </w:pPr>
      <w:r>
        <w:rPr>
          <w:b/>
          <w:bCs/>
          <w:sz w:val="24"/>
          <w:szCs w:val="24"/>
          <w:lang w:val="en-US"/>
        </w:rPr>
        <w:br w:type="page"/>
      </w:r>
    </w:p>
    <w:p w14:paraId="513DFB42" w14:textId="77777777" w:rsidR="00E55DC7" w:rsidRDefault="00E55DC7" w:rsidP="00AB4320">
      <w:pPr>
        <w:keepNext/>
        <w:keepLines/>
        <w:widowControl/>
        <w:tabs>
          <w:tab w:val="left" w:pos="720"/>
          <w:tab w:val="left" w:pos="1440"/>
          <w:tab w:val="center" w:pos="5400"/>
        </w:tabs>
        <w:suppressAutoHyphens/>
        <w:spacing w:after="240"/>
        <w:jc w:val="center"/>
        <w:rPr>
          <w:b/>
          <w:bCs/>
          <w:sz w:val="24"/>
          <w:szCs w:val="24"/>
          <w:lang w:val="en-US"/>
        </w:rPr>
      </w:pPr>
      <w:r>
        <w:rPr>
          <w:b/>
          <w:bCs/>
          <w:sz w:val="24"/>
          <w:szCs w:val="24"/>
          <w:lang w:val="en-US"/>
        </w:rPr>
        <w:lastRenderedPageBreak/>
        <w:t>GameAccount Network plc</w:t>
      </w:r>
    </w:p>
    <w:p w14:paraId="51DCE865" w14:textId="77777777" w:rsidR="00AB4320" w:rsidRDefault="00AB4320" w:rsidP="00AB4320">
      <w:pPr>
        <w:keepNext/>
        <w:keepLines/>
        <w:widowControl/>
        <w:tabs>
          <w:tab w:val="left" w:pos="720"/>
          <w:tab w:val="left" w:pos="1440"/>
          <w:tab w:val="center" w:pos="5400"/>
        </w:tabs>
        <w:suppressAutoHyphens/>
        <w:spacing w:after="240"/>
        <w:rPr>
          <w:b/>
          <w:bCs/>
          <w:lang w:val="en-US"/>
        </w:rPr>
      </w:pPr>
      <w:r>
        <w:rPr>
          <w:b/>
          <w:bCs/>
          <w:lang w:val="en-US"/>
        </w:rPr>
        <w:t>FINANCIAL</w:t>
      </w:r>
      <w:r w:rsidR="0043689C">
        <w:rPr>
          <w:b/>
          <w:bCs/>
          <w:lang w:val="en-US"/>
        </w:rPr>
        <w:t xml:space="preserve"> </w:t>
      </w:r>
      <w:r>
        <w:rPr>
          <w:b/>
          <w:bCs/>
          <w:lang w:val="en-US"/>
        </w:rPr>
        <w:t>REVIEW</w:t>
      </w:r>
    </w:p>
    <w:p w14:paraId="22CC473B" w14:textId="77777777" w:rsidR="00AB4320" w:rsidRDefault="00AB4320" w:rsidP="00AB4320">
      <w:pPr>
        <w:rPr>
          <w:b/>
        </w:rPr>
      </w:pPr>
      <w:r w:rsidRPr="00116482">
        <w:rPr>
          <w:b/>
        </w:rPr>
        <w:t>Summary</w:t>
      </w:r>
    </w:p>
    <w:p w14:paraId="11D5626D" w14:textId="77777777" w:rsidR="00AB4320" w:rsidRPr="00116482" w:rsidRDefault="00AB4320" w:rsidP="00AB4320">
      <w:pPr>
        <w:rPr>
          <w:b/>
        </w:rPr>
      </w:pPr>
    </w:p>
    <w:p w14:paraId="422DA7B8" w14:textId="77777777" w:rsidR="00AB4320" w:rsidRDefault="00AB4320" w:rsidP="00872326">
      <w:pPr>
        <w:jc w:val="both"/>
        <w:rPr>
          <w:szCs w:val="20"/>
        </w:rPr>
      </w:pPr>
      <w:r>
        <w:rPr>
          <w:szCs w:val="20"/>
        </w:rPr>
        <w:t xml:space="preserve">Gross income of </w:t>
      </w:r>
      <w:r w:rsidR="00872326">
        <w:rPr>
          <w:szCs w:val="20"/>
        </w:rPr>
        <w:t>£13.</w:t>
      </w:r>
      <w:r w:rsidR="0048039F">
        <w:rPr>
          <w:szCs w:val="20"/>
        </w:rPr>
        <w:t>4</w:t>
      </w:r>
      <w:r w:rsidR="00872326">
        <w:rPr>
          <w:szCs w:val="20"/>
        </w:rPr>
        <w:t>m for the s</w:t>
      </w:r>
      <w:r w:rsidR="00F7615A">
        <w:rPr>
          <w:szCs w:val="20"/>
        </w:rPr>
        <w:t>ix months ended 30 June 2015 represents an</w:t>
      </w:r>
      <w:r w:rsidR="0092241E">
        <w:rPr>
          <w:szCs w:val="20"/>
        </w:rPr>
        <w:t xml:space="preserve"> increase of £0.</w:t>
      </w:r>
      <w:r w:rsidR="00F7274B">
        <w:rPr>
          <w:szCs w:val="20"/>
        </w:rPr>
        <w:t>2</w:t>
      </w:r>
      <w:r w:rsidR="0092241E">
        <w:rPr>
          <w:szCs w:val="20"/>
        </w:rPr>
        <w:t>m com</w:t>
      </w:r>
      <w:r w:rsidR="008D3A94">
        <w:rPr>
          <w:szCs w:val="20"/>
        </w:rPr>
        <w:t>pared to the comparative period ended 30 June 201</w:t>
      </w:r>
      <w:r w:rsidR="00967C0D">
        <w:rPr>
          <w:szCs w:val="20"/>
        </w:rPr>
        <w:t>4</w:t>
      </w:r>
      <w:r w:rsidR="008D3A94">
        <w:rPr>
          <w:szCs w:val="20"/>
        </w:rPr>
        <w:t xml:space="preserve">. </w:t>
      </w:r>
      <w:r w:rsidR="0092241E">
        <w:rPr>
          <w:szCs w:val="20"/>
        </w:rPr>
        <w:t xml:space="preserve"> </w:t>
      </w:r>
      <w:r>
        <w:rPr>
          <w:szCs w:val="20"/>
        </w:rPr>
        <w:t>Net revenue for t</w:t>
      </w:r>
      <w:r w:rsidR="00872326">
        <w:rPr>
          <w:szCs w:val="20"/>
        </w:rPr>
        <w:t>he six months ended 30 June 2015</w:t>
      </w:r>
      <w:r>
        <w:rPr>
          <w:szCs w:val="20"/>
        </w:rPr>
        <w:t xml:space="preserve"> was £</w:t>
      </w:r>
      <w:r w:rsidR="00872326">
        <w:rPr>
          <w:szCs w:val="20"/>
        </w:rPr>
        <w:t>2.</w:t>
      </w:r>
      <w:r w:rsidR="0048039F">
        <w:rPr>
          <w:szCs w:val="20"/>
        </w:rPr>
        <w:t>9</w:t>
      </w:r>
      <w:r>
        <w:rPr>
          <w:szCs w:val="20"/>
        </w:rPr>
        <w:t>m compared to £</w:t>
      </w:r>
      <w:r w:rsidR="00872326">
        <w:rPr>
          <w:szCs w:val="20"/>
        </w:rPr>
        <w:t>4.2</w:t>
      </w:r>
      <w:r>
        <w:rPr>
          <w:szCs w:val="20"/>
        </w:rPr>
        <w:t>m</w:t>
      </w:r>
      <w:r w:rsidR="000E3079">
        <w:rPr>
          <w:szCs w:val="20"/>
        </w:rPr>
        <w:t xml:space="preserve"> for the s</w:t>
      </w:r>
      <w:r w:rsidR="00872326">
        <w:rPr>
          <w:szCs w:val="20"/>
        </w:rPr>
        <w:t>ix months ended 30 June 2014</w:t>
      </w:r>
      <w:r>
        <w:rPr>
          <w:szCs w:val="20"/>
        </w:rPr>
        <w:t>. The re</w:t>
      </w:r>
      <w:r w:rsidR="00872326">
        <w:rPr>
          <w:szCs w:val="20"/>
        </w:rPr>
        <w:t>sults for the first half of 2014</w:t>
      </w:r>
      <w:r>
        <w:rPr>
          <w:szCs w:val="20"/>
        </w:rPr>
        <w:t xml:space="preserve"> benefited from the recognition </w:t>
      </w:r>
      <w:r w:rsidR="0092241E">
        <w:rPr>
          <w:szCs w:val="20"/>
        </w:rPr>
        <w:t xml:space="preserve">of </w:t>
      </w:r>
      <w:r w:rsidR="008D3A94">
        <w:rPr>
          <w:szCs w:val="20"/>
        </w:rPr>
        <w:t xml:space="preserve">gross income, net </w:t>
      </w:r>
      <w:r w:rsidR="0092241E">
        <w:rPr>
          <w:szCs w:val="20"/>
        </w:rPr>
        <w:t>revenue</w:t>
      </w:r>
      <w:r w:rsidR="008D3A94">
        <w:rPr>
          <w:szCs w:val="20"/>
        </w:rPr>
        <w:t xml:space="preserve"> and clean EBITDA of £1.1m</w:t>
      </w:r>
      <w:r w:rsidR="0092241E">
        <w:rPr>
          <w:szCs w:val="20"/>
        </w:rPr>
        <w:t xml:space="preserve"> associated with the </w:t>
      </w:r>
      <w:r w:rsidR="005E586E">
        <w:rPr>
          <w:szCs w:val="20"/>
        </w:rPr>
        <w:t xml:space="preserve">contingent </w:t>
      </w:r>
      <w:r w:rsidR="0092241E">
        <w:rPr>
          <w:szCs w:val="20"/>
        </w:rPr>
        <w:t xml:space="preserve">final payment of a material system sale completed in 2013. </w:t>
      </w:r>
      <w:r w:rsidR="008D3A94">
        <w:rPr>
          <w:szCs w:val="20"/>
        </w:rPr>
        <w:t>E</w:t>
      </w:r>
      <w:r w:rsidR="0092241E">
        <w:rPr>
          <w:szCs w:val="20"/>
        </w:rPr>
        <w:t>xcluding the impact of</w:t>
      </w:r>
      <w:r w:rsidR="008D3A94">
        <w:rPr>
          <w:szCs w:val="20"/>
        </w:rPr>
        <w:t xml:space="preserve"> revenue from</w:t>
      </w:r>
      <w:r w:rsidR="0092241E">
        <w:rPr>
          <w:szCs w:val="20"/>
        </w:rPr>
        <w:t xml:space="preserve"> this system sale</w:t>
      </w:r>
      <w:r w:rsidR="00020436">
        <w:rPr>
          <w:szCs w:val="20"/>
        </w:rPr>
        <w:t>,</w:t>
      </w:r>
      <w:r w:rsidR="0092241E">
        <w:rPr>
          <w:szCs w:val="20"/>
        </w:rPr>
        <w:t xml:space="preserve"> underlying net revenues of £2.9m</w:t>
      </w:r>
      <w:r w:rsidR="008D3A94">
        <w:rPr>
          <w:szCs w:val="20"/>
        </w:rPr>
        <w:t xml:space="preserve"> in 2015</w:t>
      </w:r>
      <w:r w:rsidR="0092241E">
        <w:rPr>
          <w:szCs w:val="20"/>
        </w:rPr>
        <w:t xml:space="preserve"> are </w:t>
      </w:r>
      <w:r w:rsidR="008D3A94">
        <w:rPr>
          <w:szCs w:val="20"/>
        </w:rPr>
        <w:t xml:space="preserve">£0.2m less than those recorded in the first half of 2014. </w:t>
      </w:r>
      <w:r w:rsidR="002379A3">
        <w:rPr>
          <w:szCs w:val="20"/>
        </w:rPr>
        <w:t>Clean EBITDA loss of £1.</w:t>
      </w:r>
      <w:r w:rsidR="005B65D9">
        <w:rPr>
          <w:szCs w:val="20"/>
        </w:rPr>
        <w:t>5</w:t>
      </w:r>
      <w:r w:rsidR="002379A3">
        <w:rPr>
          <w:szCs w:val="20"/>
        </w:rPr>
        <w:t>m is £</w:t>
      </w:r>
      <w:r w:rsidR="005B65D9">
        <w:rPr>
          <w:szCs w:val="20"/>
        </w:rPr>
        <w:t>1.1</w:t>
      </w:r>
      <w:r w:rsidR="002379A3">
        <w:rPr>
          <w:szCs w:val="20"/>
        </w:rPr>
        <w:t xml:space="preserve">m lower than prior year </w:t>
      </w:r>
      <w:r w:rsidR="00513C6E">
        <w:rPr>
          <w:szCs w:val="20"/>
        </w:rPr>
        <w:t>period clean EBITDA loss of £0.</w:t>
      </w:r>
      <w:r w:rsidR="005B65D9">
        <w:rPr>
          <w:szCs w:val="20"/>
        </w:rPr>
        <w:t>4</w:t>
      </w:r>
      <w:r w:rsidR="00513C6E">
        <w:rPr>
          <w:szCs w:val="20"/>
        </w:rPr>
        <w:t xml:space="preserve">m. On an underlying basis, excluding the impact of system sale revenues recorded in the comparative period, </w:t>
      </w:r>
      <w:r w:rsidR="002379A3">
        <w:rPr>
          <w:szCs w:val="20"/>
        </w:rPr>
        <w:t xml:space="preserve">clean EBITDA loss </w:t>
      </w:r>
      <w:r w:rsidR="005B65D9">
        <w:rPr>
          <w:szCs w:val="20"/>
        </w:rPr>
        <w:t>remains unchanged against the comparative period loss of £1.5m.</w:t>
      </w:r>
      <w:r w:rsidR="002379A3">
        <w:rPr>
          <w:szCs w:val="20"/>
        </w:rPr>
        <w:t xml:space="preserve"> </w:t>
      </w:r>
      <w:r>
        <w:rPr>
          <w:szCs w:val="20"/>
        </w:rPr>
        <w:t>Loss before</w:t>
      </w:r>
      <w:r w:rsidR="00872326">
        <w:rPr>
          <w:szCs w:val="20"/>
        </w:rPr>
        <w:t xml:space="preserve"> and after</w:t>
      </w:r>
      <w:r>
        <w:rPr>
          <w:szCs w:val="20"/>
        </w:rPr>
        <w:t xml:space="preserve"> taxation </w:t>
      </w:r>
      <w:r w:rsidR="002379A3">
        <w:rPr>
          <w:szCs w:val="20"/>
        </w:rPr>
        <w:t>of</w:t>
      </w:r>
      <w:r>
        <w:rPr>
          <w:szCs w:val="20"/>
        </w:rPr>
        <w:t xml:space="preserve"> £</w:t>
      </w:r>
      <w:r w:rsidR="00872326">
        <w:rPr>
          <w:szCs w:val="20"/>
        </w:rPr>
        <w:t>2.</w:t>
      </w:r>
      <w:r w:rsidR="005B65D9">
        <w:rPr>
          <w:szCs w:val="20"/>
        </w:rPr>
        <w:t>6</w:t>
      </w:r>
      <w:r w:rsidR="002379A3">
        <w:rPr>
          <w:szCs w:val="20"/>
        </w:rPr>
        <w:t xml:space="preserve">m </w:t>
      </w:r>
      <w:r w:rsidR="00020436">
        <w:rPr>
          <w:szCs w:val="20"/>
        </w:rPr>
        <w:t xml:space="preserve">for the current period </w:t>
      </w:r>
      <w:r w:rsidR="00513C6E">
        <w:rPr>
          <w:szCs w:val="20"/>
        </w:rPr>
        <w:t>compared to a Loss before and after taxation of £0.9m</w:t>
      </w:r>
      <w:r w:rsidR="0043689C">
        <w:rPr>
          <w:szCs w:val="20"/>
        </w:rPr>
        <w:t xml:space="preserve"> (2014: £</w:t>
      </w:r>
      <w:r w:rsidR="001F1B57">
        <w:rPr>
          <w:szCs w:val="20"/>
        </w:rPr>
        <w:t>2.0m</w:t>
      </w:r>
      <w:r w:rsidR="00020436">
        <w:rPr>
          <w:szCs w:val="20"/>
        </w:rPr>
        <w:t xml:space="preserve"> loss</w:t>
      </w:r>
      <w:r w:rsidR="001F1B57">
        <w:rPr>
          <w:szCs w:val="20"/>
        </w:rPr>
        <w:t xml:space="preserve"> adjusted for impact of system sale)</w:t>
      </w:r>
      <w:r w:rsidR="00513C6E">
        <w:rPr>
          <w:szCs w:val="20"/>
        </w:rPr>
        <w:t xml:space="preserve"> in </w:t>
      </w:r>
      <w:r w:rsidR="00020436">
        <w:rPr>
          <w:szCs w:val="20"/>
        </w:rPr>
        <w:t>the comparative period</w:t>
      </w:r>
      <w:r w:rsidR="00513C6E">
        <w:rPr>
          <w:szCs w:val="20"/>
        </w:rPr>
        <w:t xml:space="preserve">. </w:t>
      </w:r>
    </w:p>
    <w:p w14:paraId="6C88198E" w14:textId="77777777" w:rsidR="00AB4320" w:rsidRDefault="00AB4320" w:rsidP="00AB4320">
      <w:pPr>
        <w:jc w:val="both"/>
        <w:rPr>
          <w:szCs w:val="20"/>
        </w:rPr>
      </w:pPr>
    </w:p>
    <w:p w14:paraId="3C494303" w14:textId="77777777" w:rsidR="00AB4320" w:rsidRPr="00E81FE5" w:rsidRDefault="00AB4320" w:rsidP="00AB4320">
      <w:pPr>
        <w:jc w:val="both"/>
        <w:rPr>
          <w:szCs w:val="20"/>
        </w:rPr>
      </w:pPr>
      <w:r w:rsidRPr="00E81FE5">
        <w:rPr>
          <w:szCs w:val="20"/>
        </w:rPr>
        <w:t xml:space="preserve">The Group </w:t>
      </w:r>
      <w:r w:rsidR="001F1B57" w:rsidRPr="00E81FE5">
        <w:rPr>
          <w:szCs w:val="20"/>
        </w:rPr>
        <w:t xml:space="preserve">remains focussed on building a </w:t>
      </w:r>
      <w:r w:rsidR="007F6AEA">
        <w:rPr>
          <w:szCs w:val="20"/>
        </w:rPr>
        <w:t>substantial</w:t>
      </w:r>
      <w:r w:rsidR="001F1B57" w:rsidRPr="00E81FE5">
        <w:rPr>
          <w:szCs w:val="20"/>
        </w:rPr>
        <w:t xml:space="preserve"> recurring revenue base through the expansion of our Simulated Gaming</w:t>
      </w:r>
      <w:r w:rsidR="001F1B57" w:rsidRPr="00E81FE5">
        <w:rPr>
          <w:szCs w:val="20"/>
          <w:vertAlign w:val="superscript"/>
        </w:rPr>
        <w:t>TM</w:t>
      </w:r>
      <w:r w:rsidR="001F1B57" w:rsidRPr="00E81FE5">
        <w:rPr>
          <w:szCs w:val="20"/>
        </w:rPr>
        <w:t xml:space="preserve"> customer base</w:t>
      </w:r>
      <w:r w:rsidR="00E81FE5">
        <w:rPr>
          <w:szCs w:val="20"/>
        </w:rPr>
        <w:t xml:space="preserve"> and real money gaming revenues in sustainable markets</w:t>
      </w:r>
      <w:r w:rsidR="001F1B57" w:rsidRPr="00E81FE5">
        <w:rPr>
          <w:szCs w:val="20"/>
        </w:rPr>
        <w:t xml:space="preserve">. </w:t>
      </w:r>
      <w:r w:rsidR="00C577F1">
        <w:rPr>
          <w:szCs w:val="20"/>
        </w:rPr>
        <w:t xml:space="preserve">The Group defines sustainable markets </w:t>
      </w:r>
      <w:r w:rsidR="0043689C">
        <w:rPr>
          <w:szCs w:val="20"/>
        </w:rPr>
        <w:t xml:space="preserve">for real money gaming </w:t>
      </w:r>
      <w:r w:rsidR="00C577F1">
        <w:rPr>
          <w:szCs w:val="20"/>
        </w:rPr>
        <w:t xml:space="preserve">as those in which the Group holds an inherent competitive advantage; currently Italy in the European market and New Jersey in the US market. </w:t>
      </w:r>
      <w:r w:rsidR="001F1B57" w:rsidRPr="00E81FE5">
        <w:rPr>
          <w:szCs w:val="20"/>
        </w:rPr>
        <w:t xml:space="preserve">In order to best meet this opportunity the Group has continued to </w:t>
      </w:r>
      <w:r w:rsidRPr="00E81FE5">
        <w:rPr>
          <w:szCs w:val="20"/>
        </w:rPr>
        <w:t xml:space="preserve">invest </w:t>
      </w:r>
      <w:r w:rsidR="0020152C" w:rsidRPr="00E81FE5">
        <w:rPr>
          <w:szCs w:val="20"/>
        </w:rPr>
        <w:t>heavily</w:t>
      </w:r>
      <w:r w:rsidRPr="00E81FE5">
        <w:rPr>
          <w:szCs w:val="20"/>
        </w:rPr>
        <w:t xml:space="preserve"> in the underlying Internet Gaming System capability </w:t>
      </w:r>
      <w:r w:rsidR="0020152C" w:rsidRPr="00E81FE5">
        <w:rPr>
          <w:szCs w:val="20"/>
        </w:rPr>
        <w:t>and</w:t>
      </w:r>
      <w:r w:rsidR="00E81FE5" w:rsidRPr="00E81FE5">
        <w:rPr>
          <w:szCs w:val="20"/>
        </w:rPr>
        <w:t xml:space="preserve"> related B2B marketing opportunities in relevant markets. </w:t>
      </w:r>
      <w:r w:rsidRPr="00E81FE5">
        <w:rPr>
          <w:szCs w:val="20"/>
        </w:rPr>
        <w:t>The Group believes this investment is necessary in order to ensure that it</w:t>
      </w:r>
      <w:r w:rsidR="0043689C">
        <w:rPr>
          <w:szCs w:val="20"/>
        </w:rPr>
        <w:t xml:space="preserve"> continues to be in </w:t>
      </w:r>
      <w:r w:rsidRPr="00E81FE5">
        <w:rPr>
          <w:szCs w:val="20"/>
        </w:rPr>
        <w:t>position to capitalise on the</w:t>
      </w:r>
      <w:r w:rsidR="0020152C" w:rsidRPr="00E81FE5">
        <w:rPr>
          <w:szCs w:val="20"/>
        </w:rPr>
        <w:t xml:space="preserve"> immediate Simulated</w:t>
      </w:r>
      <w:r w:rsidRPr="00E81FE5">
        <w:rPr>
          <w:szCs w:val="20"/>
        </w:rPr>
        <w:t xml:space="preserve"> Gaming</w:t>
      </w:r>
      <w:r w:rsidR="0020152C" w:rsidRPr="00E81FE5">
        <w:rPr>
          <w:szCs w:val="20"/>
          <w:vertAlign w:val="superscript"/>
        </w:rPr>
        <w:t>TM</w:t>
      </w:r>
      <w:r w:rsidRPr="00E81FE5">
        <w:rPr>
          <w:szCs w:val="20"/>
        </w:rPr>
        <w:t xml:space="preserve"> opportunity in the US and other markets.</w:t>
      </w:r>
    </w:p>
    <w:p w14:paraId="619CAF9E" w14:textId="77777777" w:rsidR="00AB4320" w:rsidRDefault="00AB4320" w:rsidP="00AB4320">
      <w:pPr>
        <w:jc w:val="both"/>
        <w:rPr>
          <w:szCs w:val="20"/>
        </w:rPr>
      </w:pPr>
    </w:p>
    <w:p w14:paraId="530A1EF5" w14:textId="77777777" w:rsidR="00AB4320" w:rsidRDefault="00AB4320" w:rsidP="00AB4320">
      <w:pPr>
        <w:jc w:val="both"/>
        <w:rPr>
          <w:szCs w:val="20"/>
        </w:rPr>
      </w:pPr>
      <w:r>
        <w:rPr>
          <w:szCs w:val="20"/>
        </w:rPr>
        <w:t xml:space="preserve">Cash and cash equivalents </w:t>
      </w:r>
      <w:r w:rsidR="0043689C">
        <w:rPr>
          <w:szCs w:val="20"/>
        </w:rPr>
        <w:t>at the end of the</w:t>
      </w:r>
      <w:r>
        <w:rPr>
          <w:szCs w:val="20"/>
        </w:rPr>
        <w:t xml:space="preserve"> period was £</w:t>
      </w:r>
      <w:r w:rsidR="00872326">
        <w:rPr>
          <w:szCs w:val="20"/>
        </w:rPr>
        <w:t>7.6</w:t>
      </w:r>
      <w:r w:rsidR="00E94945">
        <w:rPr>
          <w:szCs w:val="20"/>
        </w:rPr>
        <w:t>m</w:t>
      </w:r>
      <w:r>
        <w:rPr>
          <w:szCs w:val="20"/>
        </w:rPr>
        <w:t xml:space="preserve"> compared to £</w:t>
      </w:r>
      <w:r w:rsidR="00872326">
        <w:rPr>
          <w:szCs w:val="20"/>
        </w:rPr>
        <w:t>14.0</w:t>
      </w:r>
      <w:r w:rsidR="00E94945">
        <w:rPr>
          <w:szCs w:val="20"/>
        </w:rPr>
        <w:t>m</w:t>
      </w:r>
      <w:r w:rsidR="001F1B57">
        <w:rPr>
          <w:szCs w:val="20"/>
        </w:rPr>
        <w:t xml:space="preserve"> at the end of </w:t>
      </w:r>
      <w:r>
        <w:rPr>
          <w:szCs w:val="20"/>
        </w:rPr>
        <w:t>the comparative period</w:t>
      </w:r>
      <w:r w:rsidR="001F1B57">
        <w:rPr>
          <w:szCs w:val="20"/>
        </w:rPr>
        <w:t xml:space="preserve"> and £10.8m </w:t>
      </w:r>
      <w:r w:rsidR="0017249C">
        <w:rPr>
          <w:szCs w:val="20"/>
        </w:rPr>
        <w:t>for</w:t>
      </w:r>
      <w:r w:rsidR="001F1B57">
        <w:rPr>
          <w:szCs w:val="20"/>
        </w:rPr>
        <w:t xml:space="preserve"> the year ended 31 December 2014. </w:t>
      </w:r>
      <w:r w:rsidR="00872326">
        <w:rPr>
          <w:szCs w:val="20"/>
        </w:rPr>
        <w:t xml:space="preserve"> Net Assets at 30 June 2015</w:t>
      </w:r>
      <w:r>
        <w:rPr>
          <w:szCs w:val="20"/>
        </w:rPr>
        <w:t xml:space="preserve"> </w:t>
      </w:r>
      <w:r w:rsidR="00B915D0">
        <w:rPr>
          <w:szCs w:val="20"/>
        </w:rPr>
        <w:t>of</w:t>
      </w:r>
      <w:r>
        <w:rPr>
          <w:szCs w:val="20"/>
        </w:rPr>
        <w:t xml:space="preserve"> £1</w:t>
      </w:r>
      <w:r w:rsidR="00872326">
        <w:rPr>
          <w:szCs w:val="20"/>
        </w:rPr>
        <w:t>2.</w:t>
      </w:r>
      <w:r w:rsidR="005B65D9">
        <w:rPr>
          <w:szCs w:val="20"/>
        </w:rPr>
        <w:t>6m</w:t>
      </w:r>
      <w:r w:rsidR="00872326">
        <w:rPr>
          <w:szCs w:val="20"/>
        </w:rPr>
        <w:t xml:space="preserve"> com</w:t>
      </w:r>
      <w:r>
        <w:rPr>
          <w:szCs w:val="20"/>
        </w:rPr>
        <w:t>pared to</w:t>
      </w:r>
      <w:r w:rsidR="00872326">
        <w:rPr>
          <w:szCs w:val="20"/>
        </w:rPr>
        <w:t xml:space="preserve"> £16.9m </w:t>
      </w:r>
      <w:r w:rsidR="00735F62">
        <w:rPr>
          <w:szCs w:val="20"/>
        </w:rPr>
        <w:t xml:space="preserve">at 30 June 2014 and £15.2m for the year ended </w:t>
      </w:r>
      <w:r w:rsidR="001F1B57">
        <w:rPr>
          <w:szCs w:val="20"/>
        </w:rPr>
        <w:t>31 December 2014.</w:t>
      </w:r>
    </w:p>
    <w:p w14:paraId="46527FAF" w14:textId="77777777" w:rsidR="00AB4320" w:rsidRPr="00432EA8" w:rsidRDefault="00AB4320" w:rsidP="00AB4320">
      <w:pPr>
        <w:jc w:val="both"/>
        <w:rPr>
          <w:szCs w:val="20"/>
        </w:rPr>
      </w:pPr>
    </w:p>
    <w:p w14:paraId="65F93EE1" w14:textId="77777777" w:rsidR="00AB4320" w:rsidRDefault="00AB4320" w:rsidP="00AB4320">
      <w:pPr>
        <w:jc w:val="both"/>
        <w:rPr>
          <w:b/>
        </w:rPr>
      </w:pPr>
      <w:r w:rsidRPr="00CD4B23">
        <w:rPr>
          <w:b/>
        </w:rPr>
        <w:t>Revenue</w:t>
      </w:r>
    </w:p>
    <w:p w14:paraId="25EE2391" w14:textId="77777777" w:rsidR="00AB4320" w:rsidRPr="00CD4B23" w:rsidRDefault="00AB4320" w:rsidP="00AB4320">
      <w:pPr>
        <w:jc w:val="both"/>
        <w:rPr>
          <w:b/>
        </w:rPr>
      </w:pPr>
    </w:p>
    <w:p w14:paraId="3BD745BF" w14:textId="77777777" w:rsidR="00AB4320" w:rsidRDefault="00AB4320" w:rsidP="00AB4320">
      <w:pPr>
        <w:jc w:val="both"/>
      </w:pPr>
      <w:r>
        <w:t xml:space="preserve">Gross Income </w:t>
      </w:r>
      <w:r w:rsidR="004300BA">
        <w:t>of £13.</w:t>
      </w:r>
      <w:r w:rsidR="0048039F">
        <w:t>4</w:t>
      </w:r>
      <w:r w:rsidR="004300BA">
        <w:t xml:space="preserve">m </w:t>
      </w:r>
      <w:r w:rsidR="00565CCB">
        <w:t>is £0.2m higher than recorded</w:t>
      </w:r>
      <w:r w:rsidR="004300BA">
        <w:t xml:space="preserve"> in the six months ended 30 June 2014</w:t>
      </w:r>
      <w:r>
        <w:t>.</w:t>
      </w:r>
      <w:r w:rsidR="003404C6">
        <w:t xml:space="preserve"> Excluding the impact of the system sale in </w:t>
      </w:r>
      <w:r>
        <w:t>the six month period ended 30 June 201</w:t>
      </w:r>
      <w:r w:rsidR="00800527">
        <w:t>4</w:t>
      </w:r>
      <w:r w:rsidR="003404C6">
        <w:t xml:space="preserve"> of £1.1m,</w:t>
      </w:r>
      <w:r>
        <w:t xml:space="preserve"> </w:t>
      </w:r>
      <w:r w:rsidR="003404C6">
        <w:t>u</w:t>
      </w:r>
      <w:r>
        <w:t>nderlying adjusted Gross Income</w:t>
      </w:r>
      <w:r w:rsidR="007A5DB6">
        <w:t xml:space="preserve"> </w:t>
      </w:r>
      <w:r>
        <w:t>incre</w:t>
      </w:r>
      <w:r w:rsidR="003F6CC0">
        <w:t>ased by</w:t>
      </w:r>
      <w:r w:rsidR="002D3604">
        <w:t xml:space="preserve"> 10</w:t>
      </w:r>
      <w:r w:rsidR="003F6CC0">
        <w:t xml:space="preserve">% </w:t>
      </w:r>
      <w:r w:rsidR="003404C6">
        <w:t>i</w:t>
      </w:r>
      <w:r w:rsidR="003F6CC0">
        <w:t>n 201</w:t>
      </w:r>
      <w:r w:rsidR="003404C6">
        <w:t>5</w:t>
      </w:r>
      <w:r w:rsidR="003F6CC0">
        <w:t>.</w:t>
      </w:r>
    </w:p>
    <w:p w14:paraId="4C9B8295" w14:textId="77777777" w:rsidR="00AB4320" w:rsidRDefault="00AB4320" w:rsidP="00AB4320">
      <w:pPr>
        <w:jc w:val="both"/>
      </w:pPr>
    </w:p>
    <w:p w14:paraId="04ED71F0" w14:textId="77777777" w:rsidR="00A10C75" w:rsidRPr="00560EA6" w:rsidRDefault="00AB4320" w:rsidP="005B440A">
      <w:pPr>
        <w:jc w:val="both"/>
      </w:pPr>
      <w:r>
        <w:t>Net revenue for the period of £</w:t>
      </w:r>
      <w:r w:rsidR="00FC0B65">
        <w:t>2.</w:t>
      </w:r>
      <w:r w:rsidR="002D3604">
        <w:t>9</w:t>
      </w:r>
      <w:r>
        <w:t>m is £</w:t>
      </w:r>
      <w:r w:rsidR="00FC0B65">
        <w:t>1.</w:t>
      </w:r>
      <w:r w:rsidR="002D3604">
        <w:t>3</w:t>
      </w:r>
      <w:r>
        <w:t xml:space="preserve">m less than the comparative six month period. </w:t>
      </w:r>
      <w:r w:rsidR="00F7274B">
        <w:t>Net revenue for t</w:t>
      </w:r>
      <w:r>
        <w:t>he six month</w:t>
      </w:r>
      <w:r w:rsidR="00F7274B">
        <w:t>s</w:t>
      </w:r>
      <w:r>
        <w:t xml:space="preserve"> </w:t>
      </w:r>
      <w:r w:rsidR="00F7274B">
        <w:t xml:space="preserve">ended 30 June 2014 was boosted by the recognition of £1.1m in revenue related to the final payment of a material system sale completed in 2013. On an underlying basis, net revenue excluding the impact of this system sale decreased by </w:t>
      </w:r>
      <w:r w:rsidR="00A10C75">
        <w:t>6% from £3.1m to £2.9m.</w:t>
      </w:r>
      <w:r w:rsidR="00560EA6">
        <w:t xml:space="preserve"> Net revenue generated from our Simulated Gaming</w:t>
      </w:r>
      <w:r w:rsidR="00560EA6">
        <w:rPr>
          <w:vertAlign w:val="superscript"/>
        </w:rPr>
        <w:t>TM</w:t>
      </w:r>
      <w:r w:rsidR="00560EA6">
        <w:t xml:space="preserve"> business in the US and Australian markets grew from £0.2m in the first half of 2014 to £1.</w:t>
      </w:r>
      <w:r w:rsidR="00A41D41">
        <w:t>2</w:t>
      </w:r>
      <w:r w:rsidR="00560EA6">
        <w:t xml:space="preserve">m for the first six months of 2015 and now accounts for </w:t>
      </w:r>
      <w:r w:rsidR="00A41D41">
        <w:t>41</w:t>
      </w:r>
      <w:r w:rsidR="00560EA6">
        <w:t>% of overall net revenues compared to 5% in the prior period</w:t>
      </w:r>
      <w:r w:rsidR="00131AC7">
        <w:t xml:space="preserve"> (6</w:t>
      </w:r>
      <w:r w:rsidR="005172E8">
        <w:t>% adjusted</w:t>
      </w:r>
      <w:r w:rsidR="00131AC7">
        <w:t xml:space="preserve"> for </w:t>
      </w:r>
      <w:r w:rsidR="005172E8">
        <w:t xml:space="preserve">the </w:t>
      </w:r>
      <w:r w:rsidR="00131AC7">
        <w:t>impact of system sale revenue in 2014)</w:t>
      </w:r>
      <w:r w:rsidR="00560EA6">
        <w:t xml:space="preserve">. </w:t>
      </w:r>
    </w:p>
    <w:p w14:paraId="2438B591" w14:textId="77777777" w:rsidR="00A10C75" w:rsidRDefault="00A10C75" w:rsidP="005B440A">
      <w:pPr>
        <w:jc w:val="both"/>
      </w:pPr>
    </w:p>
    <w:p w14:paraId="2E9A4A0D" w14:textId="77777777" w:rsidR="00AB4320" w:rsidRDefault="00A10C75" w:rsidP="005B440A">
      <w:pPr>
        <w:jc w:val="both"/>
      </w:pPr>
      <w:r>
        <w:t xml:space="preserve">The Group categorises </w:t>
      </w:r>
      <w:r w:rsidR="00086DF2">
        <w:t>B2B n</w:t>
      </w:r>
      <w:r>
        <w:t>et revenue into two distinct revenue streams; Revenue share and other revenue (recurring</w:t>
      </w:r>
      <w:r w:rsidR="005172E8">
        <w:t xml:space="preserve"> in nature</w:t>
      </w:r>
      <w:r>
        <w:t>) and Game and Platform Development (one time and</w:t>
      </w:r>
      <w:r w:rsidR="00FE70F3">
        <w:t xml:space="preserve"> primarily</w:t>
      </w:r>
      <w:r>
        <w:t xml:space="preserve"> non-recurring in nature). Recurring revenues are </w:t>
      </w:r>
      <w:r w:rsidR="005172E8">
        <w:t>principally</w:t>
      </w:r>
      <w:r w:rsidR="007F6AEA">
        <w:t xml:space="preserve"> generated in the </w:t>
      </w:r>
      <w:r>
        <w:t>real money gaming market</w:t>
      </w:r>
      <w:r w:rsidR="007F6AEA">
        <w:t>s of Italy</w:t>
      </w:r>
      <w:r>
        <w:t xml:space="preserve"> in Europe and New Jersey in the US and by </w:t>
      </w:r>
      <w:r w:rsidR="00800527">
        <w:t>Simulated G</w:t>
      </w:r>
      <w:r>
        <w:t>aming</w:t>
      </w:r>
      <w:r w:rsidR="00800527">
        <w:rPr>
          <w:vertAlign w:val="superscript"/>
        </w:rPr>
        <w:t>TM</w:t>
      </w:r>
      <w:r>
        <w:t xml:space="preserve"> </w:t>
      </w:r>
      <w:r w:rsidR="007F6AEA">
        <w:t>markets</w:t>
      </w:r>
      <w:r>
        <w:t xml:space="preserve"> in the US and Australia. </w:t>
      </w:r>
      <w:r w:rsidR="005172E8">
        <w:t xml:space="preserve">B2B </w:t>
      </w:r>
      <w:r>
        <w:t>Recurri</w:t>
      </w:r>
      <w:r w:rsidR="005172E8">
        <w:t>ng revenues have increased by 43</w:t>
      </w:r>
      <w:r>
        <w:t xml:space="preserve">% from £1.4m to £2.0m in the current period. This </w:t>
      </w:r>
      <w:r w:rsidR="00800527">
        <w:t>growth</w:t>
      </w:r>
      <w:r>
        <w:t xml:space="preserve"> has been primarily due to increases in </w:t>
      </w:r>
      <w:r w:rsidR="007F6AEA">
        <w:t>Simulated Gaming</w:t>
      </w:r>
      <w:r w:rsidR="007F6AEA">
        <w:rPr>
          <w:vertAlign w:val="superscript"/>
        </w:rPr>
        <w:t>TM</w:t>
      </w:r>
      <w:r w:rsidR="005172E8">
        <w:t xml:space="preserve"> revenues</w:t>
      </w:r>
      <w:r w:rsidR="00560EA6">
        <w:t xml:space="preserve"> </w:t>
      </w:r>
      <w:r w:rsidR="005172E8">
        <w:t>a</w:t>
      </w:r>
      <w:r w:rsidR="00560EA6">
        <w:t xml:space="preserve">nd </w:t>
      </w:r>
      <w:r w:rsidR="007F6AEA">
        <w:t xml:space="preserve">by increases in sustainable </w:t>
      </w:r>
      <w:r w:rsidR="005172E8">
        <w:t xml:space="preserve">market </w:t>
      </w:r>
      <w:r w:rsidR="007F6AEA">
        <w:t xml:space="preserve">real money gaming </w:t>
      </w:r>
      <w:r w:rsidR="008A1583">
        <w:t>revenues</w:t>
      </w:r>
      <w:r w:rsidR="007F6AEA">
        <w:t xml:space="preserve"> partially offset by </w:t>
      </w:r>
      <w:r w:rsidR="006727DC">
        <w:t>reduced real</w:t>
      </w:r>
      <w:r w:rsidR="00800527">
        <w:t xml:space="preserve"> money gaming revenues from </w:t>
      </w:r>
      <w:r w:rsidR="006727DC">
        <w:t xml:space="preserve">other real money gaming </w:t>
      </w:r>
      <w:r w:rsidR="00560EA6">
        <w:t>markets.</w:t>
      </w:r>
      <w:r w:rsidR="007F6AEA">
        <w:t xml:space="preserve"> </w:t>
      </w:r>
    </w:p>
    <w:p w14:paraId="7017AE69" w14:textId="77777777" w:rsidR="007F6AEA" w:rsidRDefault="007F6AEA" w:rsidP="005B440A">
      <w:pPr>
        <w:jc w:val="both"/>
      </w:pPr>
    </w:p>
    <w:p w14:paraId="578ADC3E" w14:textId="77777777" w:rsidR="00FE70F3" w:rsidRDefault="00FE70F3" w:rsidP="005B440A">
      <w:pPr>
        <w:jc w:val="both"/>
      </w:pPr>
      <w:r>
        <w:t>Game and Platform Development revenues have fallen by £1.8m, from £2.5m to £0.7m. Underlying Game and Platform Development revenues, adjusted for the impact of system sale revenue, ha</w:t>
      </w:r>
      <w:r w:rsidR="006727DC">
        <w:t>ve</w:t>
      </w:r>
      <w:r>
        <w:t xml:space="preserve"> fallen by 51% from £1.4m to £0.7m. This reduction has been primarily due to the impact of reduced game development revenue and one time contractual revenues associated with the real money gaming market of New Jersey in the US. </w:t>
      </w:r>
    </w:p>
    <w:p w14:paraId="05301829" w14:textId="77777777" w:rsidR="00CF0E9D" w:rsidRDefault="00CF0E9D" w:rsidP="00AB4320">
      <w:pPr>
        <w:jc w:val="both"/>
      </w:pPr>
    </w:p>
    <w:p w14:paraId="211B8402" w14:textId="77777777" w:rsidR="00AB4320" w:rsidRDefault="00AB4320" w:rsidP="00AB4320">
      <w:pPr>
        <w:jc w:val="both"/>
        <w:rPr>
          <w:b/>
        </w:rPr>
      </w:pPr>
      <w:r w:rsidRPr="008A6B63">
        <w:rPr>
          <w:b/>
        </w:rPr>
        <w:t>Expenses</w:t>
      </w:r>
    </w:p>
    <w:p w14:paraId="37A41386" w14:textId="77777777" w:rsidR="00AB4320" w:rsidRPr="008A6B63" w:rsidRDefault="00AB4320" w:rsidP="00AB4320">
      <w:pPr>
        <w:jc w:val="both"/>
        <w:rPr>
          <w:b/>
        </w:rPr>
      </w:pPr>
    </w:p>
    <w:p w14:paraId="2C8DCA81" w14:textId="77777777" w:rsidR="00AB4320" w:rsidRPr="000E4D71" w:rsidRDefault="00AB4320" w:rsidP="00AB4320">
      <w:pPr>
        <w:jc w:val="both"/>
      </w:pPr>
      <w:r>
        <w:t>Distribution costs include royalties payable to third parties, B2B and B2C direct marketing expenditure and the direct costs of operating the hardware platforms deployed across the busine</w:t>
      </w:r>
      <w:r w:rsidR="00AD7BB9">
        <w:t xml:space="preserve">ss </w:t>
      </w:r>
      <w:r w:rsidR="00F175FB">
        <w:t xml:space="preserve">which in total </w:t>
      </w:r>
      <w:r w:rsidR="00AD7BB9">
        <w:t>have increased from £1.6</w:t>
      </w:r>
      <w:r w:rsidR="00301C7B">
        <w:t>m to £</w:t>
      </w:r>
      <w:r w:rsidR="00AD7BB9">
        <w:t>2.</w:t>
      </w:r>
      <w:r w:rsidR="002D3604">
        <w:t>4</w:t>
      </w:r>
      <w:r w:rsidR="00301C7B">
        <w:t>m</w:t>
      </w:r>
      <w:r>
        <w:t xml:space="preserve"> for the six months to 30 June 201</w:t>
      </w:r>
      <w:r w:rsidR="00AD7BB9">
        <w:t>5</w:t>
      </w:r>
      <w:r w:rsidRPr="000E4D71">
        <w:t xml:space="preserve">. The increase is due primarily to increased royalties payable to providers of third party games content </w:t>
      </w:r>
      <w:r w:rsidR="000E4D71" w:rsidRPr="000E4D71">
        <w:t>as a res</w:t>
      </w:r>
      <w:r w:rsidR="006727DC">
        <w:t>ult of significantly increased Simulated G</w:t>
      </w:r>
      <w:r w:rsidR="000E4D71" w:rsidRPr="000E4D71">
        <w:t>aming</w:t>
      </w:r>
      <w:r w:rsidR="006727DC">
        <w:rPr>
          <w:vertAlign w:val="superscript"/>
        </w:rPr>
        <w:t>TM</w:t>
      </w:r>
      <w:r w:rsidR="000E4D71" w:rsidRPr="000E4D71">
        <w:t xml:space="preserve"> revenues in the US and </w:t>
      </w:r>
      <w:r w:rsidR="000E4D71">
        <w:t xml:space="preserve">increased </w:t>
      </w:r>
      <w:r w:rsidR="000E4D71" w:rsidRPr="000E4D71">
        <w:t>real money gaming revenues</w:t>
      </w:r>
      <w:r w:rsidR="000E4D71">
        <w:t xml:space="preserve"> generated through our Italian operator customer base and the impact of increased </w:t>
      </w:r>
      <w:r w:rsidR="000E4D71">
        <w:lastRenderedPageBreak/>
        <w:t xml:space="preserve">amortisation charges consequent to our increased underlying investment in our Internet Gaming System. </w:t>
      </w:r>
    </w:p>
    <w:p w14:paraId="569E9400" w14:textId="77777777" w:rsidR="000E4D71" w:rsidRDefault="000E4D71" w:rsidP="00AB4320">
      <w:pPr>
        <w:jc w:val="both"/>
      </w:pPr>
    </w:p>
    <w:p w14:paraId="1CA09560" w14:textId="77777777" w:rsidR="005B65D9" w:rsidRDefault="00AB4320" w:rsidP="00AB4320">
      <w:pPr>
        <w:jc w:val="both"/>
      </w:pPr>
      <w:r>
        <w:t xml:space="preserve">Administration expenses include the costs of personnel and related expenditure for both the London and Nevada offices. Total administrative expenses have </w:t>
      </w:r>
      <w:r w:rsidR="00096823">
        <w:t>de</w:t>
      </w:r>
      <w:r>
        <w:t>creased from £</w:t>
      </w:r>
      <w:r w:rsidR="00096823">
        <w:t>3.5</w:t>
      </w:r>
      <w:r w:rsidR="000E3079">
        <w:t>m</w:t>
      </w:r>
      <w:r>
        <w:t xml:space="preserve"> in 201</w:t>
      </w:r>
      <w:r w:rsidR="00096823">
        <w:t>4</w:t>
      </w:r>
      <w:r>
        <w:t xml:space="preserve"> to £3.</w:t>
      </w:r>
      <w:r w:rsidR="005B65D9">
        <w:t>1</w:t>
      </w:r>
      <w:r w:rsidR="000E3079">
        <w:t>m</w:t>
      </w:r>
      <w:r>
        <w:t xml:space="preserve"> </w:t>
      </w:r>
      <w:r w:rsidR="00096823">
        <w:t>in the period ended 30 June 2015</w:t>
      </w:r>
      <w:r>
        <w:t xml:space="preserve"> primarily due to increased </w:t>
      </w:r>
      <w:r w:rsidR="000E4D71">
        <w:t xml:space="preserve">capitalisation of technical and development related </w:t>
      </w:r>
      <w:r>
        <w:t xml:space="preserve">headcount </w:t>
      </w:r>
      <w:r w:rsidR="000E4D71">
        <w:t xml:space="preserve">in the </w:t>
      </w:r>
      <w:r>
        <w:t>U</w:t>
      </w:r>
      <w:r w:rsidR="00A41D41">
        <w:t>K office.</w:t>
      </w:r>
    </w:p>
    <w:p w14:paraId="578F4164" w14:textId="77777777" w:rsidR="00A41D41" w:rsidRDefault="00A41D41" w:rsidP="00AB4320">
      <w:pPr>
        <w:jc w:val="both"/>
      </w:pPr>
    </w:p>
    <w:p w14:paraId="2DCC780A" w14:textId="77777777" w:rsidR="00AB4320" w:rsidRDefault="00AB4320" w:rsidP="00AB4320">
      <w:pPr>
        <w:jc w:val="both"/>
        <w:rPr>
          <w:b/>
        </w:rPr>
      </w:pPr>
      <w:r w:rsidRPr="00915898">
        <w:rPr>
          <w:b/>
        </w:rPr>
        <w:t xml:space="preserve">EBITDA </w:t>
      </w:r>
    </w:p>
    <w:p w14:paraId="1825E1E4" w14:textId="77777777" w:rsidR="00AB4320" w:rsidRDefault="00AB4320" w:rsidP="00AB4320">
      <w:pPr>
        <w:jc w:val="both"/>
        <w:rPr>
          <w:b/>
        </w:rPr>
      </w:pPr>
    </w:p>
    <w:p w14:paraId="00579B88" w14:textId="77777777" w:rsidR="00AB4320" w:rsidRDefault="00AB4320" w:rsidP="00AB4320">
      <w:pPr>
        <w:jc w:val="both"/>
      </w:pPr>
      <w:r>
        <w:t xml:space="preserve">Clean EBITDA is a non GAAP company specific measure and excludes interest, tax, depreciation, amortisation, share based payment expense and other items which the directors consider to be non-recurring and one time in nature. </w:t>
      </w:r>
      <w:r w:rsidRPr="00915898">
        <w:t>The Directors</w:t>
      </w:r>
      <w:r>
        <w:t xml:space="preserve"> regard Clean EBITDA as a reliable measure of profits that is not unduly subjective. </w:t>
      </w:r>
    </w:p>
    <w:p w14:paraId="3BF6709F" w14:textId="77777777" w:rsidR="005E586E" w:rsidRDefault="005E586E" w:rsidP="00AB4320">
      <w:pPr>
        <w:jc w:val="both"/>
      </w:pPr>
    </w:p>
    <w:p w14:paraId="784B50C9" w14:textId="77777777" w:rsidR="005E586E" w:rsidRPr="00521CCE" w:rsidRDefault="005E586E" w:rsidP="005E586E">
      <w:pPr>
        <w:jc w:val="both"/>
        <w:rPr>
          <w:i/>
          <w:color w:val="FF0000"/>
        </w:rPr>
      </w:pPr>
      <w:r>
        <w:t xml:space="preserve">Clean EBITDA loss </w:t>
      </w:r>
      <w:r w:rsidR="006E366B">
        <w:t>for the six month period ended 30 June 2015</w:t>
      </w:r>
      <w:r w:rsidR="00223357">
        <w:t xml:space="preserve"> </w:t>
      </w:r>
      <w:r>
        <w:t>of £1.</w:t>
      </w:r>
      <w:r w:rsidR="005B65D9">
        <w:t>5</w:t>
      </w:r>
      <w:r>
        <w:t>m is £</w:t>
      </w:r>
      <w:r w:rsidR="005B65D9">
        <w:t>1.1</w:t>
      </w:r>
      <w:r>
        <w:t>m lower than the comparative figure (201</w:t>
      </w:r>
      <w:r w:rsidR="00223357">
        <w:t>4</w:t>
      </w:r>
      <w:r>
        <w:t xml:space="preserve"> loss of £0.</w:t>
      </w:r>
      <w:r w:rsidR="005B65D9">
        <w:t>4</w:t>
      </w:r>
      <w:r>
        <w:t xml:space="preserve">m). This predominantly reflects the impact of system sale revenue recorded in the comparative </w:t>
      </w:r>
      <w:r w:rsidR="006E366B">
        <w:t>p</w:t>
      </w:r>
      <w:r>
        <w:t>eriod of £1.1m. Adjusting</w:t>
      </w:r>
      <w:r w:rsidR="006E366B">
        <w:t xml:space="preserve"> for the impact of this system sale revenue, </w:t>
      </w:r>
      <w:r>
        <w:t>Clean EBITDA</w:t>
      </w:r>
      <w:r w:rsidR="006E366B">
        <w:t xml:space="preserve"> loss </w:t>
      </w:r>
      <w:r w:rsidR="005B65D9">
        <w:t xml:space="preserve">for the six month period ended 30 June 2015 </w:t>
      </w:r>
      <w:r w:rsidR="000D085A">
        <w:t>remains</w:t>
      </w:r>
      <w:r w:rsidR="005B65D9">
        <w:t xml:space="preserve"> unchanged at £1.5m against the comparative period.</w:t>
      </w:r>
      <w:r>
        <w:t xml:space="preserve"> </w:t>
      </w:r>
    </w:p>
    <w:p w14:paraId="7C67331D" w14:textId="77777777" w:rsidR="005E586E" w:rsidRDefault="005E586E" w:rsidP="00AB4320">
      <w:pPr>
        <w:jc w:val="both"/>
      </w:pPr>
    </w:p>
    <w:p w14:paraId="1E20E8BB" w14:textId="77777777" w:rsidR="00D5616E" w:rsidRPr="0043689C" w:rsidRDefault="00D5616E" w:rsidP="00D5616E">
      <w:pPr>
        <w:jc w:val="both"/>
        <w:rPr>
          <w:b/>
        </w:rPr>
      </w:pPr>
      <w:r w:rsidRPr="0043689C">
        <w:rPr>
          <w:b/>
        </w:rPr>
        <w:t>Outlook</w:t>
      </w:r>
    </w:p>
    <w:p w14:paraId="6F8D17E3" w14:textId="77777777" w:rsidR="00D5616E" w:rsidRPr="00521CCE" w:rsidRDefault="00D5616E" w:rsidP="00D5616E">
      <w:pPr>
        <w:jc w:val="both"/>
        <w:rPr>
          <w:b/>
          <w:i/>
          <w:color w:val="FF0000"/>
        </w:rPr>
      </w:pPr>
    </w:p>
    <w:p w14:paraId="12DA4406" w14:textId="77777777" w:rsidR="00055F94" w:rsidRDefault="00D5616E" w:rsidP="00D5616E">
      <w:pPr>
        <w:jc w:val="both"/>
      </w:pPr>
      <w:r w:rsidRPr="008A1583">
        <w:t xml:space="preserve">B2B revenue share and other revenue </w:t>
      </w:r>
      <w:r w:rsidR="00686CF4">
        <w:t>is</w:t>
      </w:r>
      <w:r w:rsidRPr="008A1583">
        <w:t xml:space="preserve"> expected to show continued growth for </w:t>
      </w:r>
      <w:r w:rsidR="00055F94">
        <w:t xml:space="preserve">the second half </w:t>
      </w:r>
      <w:r w:rsidRPr="008A1583">
        <w:t xml:space="preserve"> of the year. Revenues from the two </w:t>
      </w:r>
      <w:r w:rsidR="00055F94">
        <w:t>Simulated Gaming</w:t>
      </w:r>
      <w:r w:rsidR="00055F94">
        <w:rPr>
          <w:vertAlign w:val="superscript"/>
        </w:rPr>
        <w:t>TM</w:t>
      </w:r>
      <w:r w:rsidR="00055F94">
        <w:t xml:space="preserve"> </w:t>
      </w:r>
      <w:r w:rsidRPr="008A1583">
        <w:t xml:space="preserve">operators launched in 2014 are continuing to </w:t>
      </w:r>
      <w:r w:rsidR="00055F94">
        <w:t>grow in line with plan</w:t>
      </w:r>
      <w:r w:rsidRPr="008A1583">
        <w:t xml:space="preserve"> while the underlying performance of the two </w:t>
      </w:r>
      <w:r>
        <w:t>new Simulated Gaming</w:t>
      </w:r>
      <w:r>
        <w:rPr>
          <w:vertAlign w:val="superscript"/>
        </w:rPr>
        <w:t>TM</w:t>
      </w:r>
      <w:r>
        <w:t xml:space="preserve"> </w:t>
      </w:r>
      <w:r w:rsidR="00055F94">
        <w:t xml:space="preserve">operators </w:t>
      </w:r>
      <w:r w:rsidR="00055F94" w:rsidRPr="008A1583">
        <w:t>launched</w:t>
      </w:r>
      <w:r w:rsidRPr="008A1583">
        <w:t xml:space="preserve"> in</w:t>
      </w:r>
      <w:r>
        <w:t xml:space="preserve"> Pennsylvania (Parx Casino) and Australia (Club8 Casino) in</w:t>
      </w:r>
      <w:r w:rsidRPr="008A1583">
        <w:t xml:space="preserve"> March </w:t>
      </w:r>
      <w:r>
        <w:t>2015</w:t>
      </w:r>
      <w:r w:rsidRPr="008A1583">
        <w:t xml:space="preserve"> </w:t>
      </w:r>
      <w:r w:rsidR="00055F94">
        <w:t xml:space="preserve">is progressing slower than expected but we are confident that this will improve. </w:t>
      </w:r>
    </w:p>
    <w:p w14:paraId="5A7044AA" w14:textId="77777777" w:rsidR="00055F94" w:rsidRDefault="00055F94" w:rsidP="00D5616E">
      <w:pPr>
        <w:jc w:val="both"/>
      </w:pPr>
    </w:p>
    <w:p w14:paraId="20070739" w14:textId="77777777" w:rsidR="00055F94" w:rsidRDefault="00055F94" w:rsidP="00D5616E">
      <w:pPr>
        <w:jc w:val="both"/>
      </w:pPr>
      <w:r>
        <w:t>The growth opportunity in Simulated Gaming</w:t>
      </w:r>
      <w:r>
        <w:rPr>
          <w:vertAlign w:val="superscript"/>
        </w:rPr>
        <w:t>TM</w:t>
      </w:r>
      <w:r>
        <w:t xml:space="preserve"> remains significant. There is strong demand for our product which is reflected in the pipeline of prospective customers with a number of exciting deals expected to be completed in the coming quarters.</w:t>
      </w:r>
    </w:p>
    <w:p w14:paraId="48ACEAE6" w14:textId="77777777" w:rsidR="00055F94" w:rsidRDefault="00055F94" w:rsidP="00D5616E">
      <w:pPr>
        <w:jc w:val="both"/>
      </w:pPr>
    </w:p>
    <w:p w14:paraId="2CBC678D" w14:textId="77777777" w:rsidR="00D5616E" w:rsidRDefault="00D5616E" w:rsidP="00D5616E">
      <w:pPr>
        <w:jc w:val="both"/>
      </w:pPr>
      <w:r>
        <w:t xml:space="preserve">The Group </w:t>
      </w:r>
      <w:r w:rsidR="00055F94">
        <w:t>will launch two further US operators in the fourth quarter; San Manuel in California and Maryland Live! Casino in Maryland</w:t>
      </w:r>
      <w:r w:rsidR="00325EB8">
        <w:t xml:space="preserve"> though the deployments are taking place later in the year than expected. The Group expects both launches to gain momentum up to year end and to provide strong growth in Simulated Gaming</w:t>
      </w:r>
      <w:r w:rsidR="00325EB8">
        <w:rPr>
          <w:vertAlign w:val="superscript"/>
        </w:rPr>
        <w:t>TM</w:t>
      </w:r>
      <w:r w:rsidR="00325EB8">
        <w:t xml:space="preserve"> revenue for 2016.  </w:t>
      </w:r>
      <w:r w:rsidR="00055F94">
        <w:t xml:space="preserve"> </w:t>
      </w:r>
    </w:p>
    <w:p w14:paraId="52DD5893" w14:textId="77777777" w:rsidR="00325EB8" w:rsidRDefault="00325EB8" w:rsidP="00D5616E">
      <w:pPr>
        <w:jc w:val="both"/>
        <w:rPr>
          <w:i/>
        </w:rPr>
      </w:pPr>
    </w:p>
    <w:p w14:paraId="109BDCC4" w14:textId="77777777" w:rsidR="00D5616E" w:rsidRDefault="00D5616E" w:rsidP="00D5616E">
      <w:pPr>
        <w:jc w:val="both"/>
      </w:pPr>
      <w:r>
        <w:t>Real money gaming revenue from sustainable markets</w:t>
      </w:r>
      <w:r w:rsidR="00325EB8">
        <w:t xml:space="preserve"> in the US and Italy is expected to grow further and will</w:t>
      </w:r>
      <w:r>
        <w:t xml:space="preserve"> continue to offset declines in other real money gaming markets. </w:t>
      </w:r>
      <w:r w:rsidR="003C4628">
        <w:t xml:space="preserve">Growth in Italy is expected to be generated through continued strengthening of our content offering and by the launch of three additional operators in Q4. </w:t>
      </w:r>
    </w:p>
    <w:p w14:paraId="46710B1E" w14:textId="77777777" w:rsidR="00D5616E" w:rsidRDefault="00D5616E" w:rsidP="00D5616E">
      <w:pPr>
        <w:jc w:val="both"/>
      </w:pPr>
    </w:p>
    <w:p w14:paraId="79C45569" w14:textId="77777777" w:rsidR="00D5616E" w:rsidRDefault="00D5616E" w:rsidP="00D5616E">
      <w:pPr>
        <w:jc w:val="both"/>
      </w:pPr>
      <w:r>
        <w:t xml:space="preserve">B2B game and platform development revenues are not expected to grow in the second half of the year primarily as a result of a shift in market focus towards the sale of game content as an integrated component of an overall internet gaming system sale. </w:t>
      </w:r>
    </w:p>
    <w:p w14:paraId="7C0DA356" w14:textId="77777777" w:rsidR="00D5616E" w:rsidRDefault="00D5616E" w:rsidP="00D5616E">
      <w:pPr>
        <w:jc w:val="both"/>
      </w:pPr>
    </w:p>
    <w:p w14:paraId="324026BC" w14:textId="77777777" w:rsidR="00D5616E" w:rsidRDefault="00D5616E" w:rsidP="00D5616E">
      <w:pPr>
        <w:jc w:val="both"/>
      </w:pPr>
      <w:r w:rsidRPr="003E4641">
        <w:t xml:space="preserve">The sale of internet gaming systems remains a </w:t>
      </w:r>
      <w:r>
        <w:t>focus</w:t>
      </w:r>
      <w:r w:rsidRPr="003E4641">
        <w:t xml:space="preserve"> of our </w:t>
      </w:r>
      <w:r>
        <w:t xml:space="preserve">overall </w:t>
      </w:r>
      <w:r w:rsidRPr="003E4641">
        <w:t>business strategy</w:t>
      </w:r>
      <w:r>
        <w:t>.</w:t>
      </w:r>
      <w:r w:rsidRPr="003E4641">
        <w:t xml:space="preserve"> The Group</w:t>
      </w:r>
      <w:r w:rsidR="00325EB8">
        <w:t xml:space="preserve"> continues to engage in advanced discussions regarding a system sale and is targeting the completion of a sale in either the fourth quarter of 2015 or in early 2016. </w:t>
      </w:r>
      <w:r w:rsidRPr="003E4641">
        <w:t xml:space="preserve"> </w:t>
      </w:r>
    </w:p>
    <w:p w14:paraId="621AC3F3" w14:textId="77777777" w:rsidR="00325EB8" w:rsidRPr="00521CCE" w:rsidRDefault="00325EB8" w:rsidP="00D5616E">
      <w:pPr>
        <w:jc w:val="both"/>
        <w:rPr>
          <w:i/>
          <w:color w:val="FF0000"/>
        </w:rPr>
      </w:pPr>
    </w:p>
    <w:p w14:paraId="37DC3052" w14:textId="77777777" w:rsidR="002D3604" w:rsidRDefault="00D5616E" w:rsidP="00D5616E">
      <w:pPr>
        <w:jc w:val="both"/>
      </w:pPr>
      <w:r w:rsidRPr="003203E6">
        <w:t xml:space="preserve">The Group believes </w:t>
      </w:r>
      <w:r>
        <w:t xml:space="preserve">that </w:t>
      </w:r>
      <w:r w:rsidRPr="003203E6">
        <w:t>th</w:t>
      </w:r>
      <w:r>
        <w:t xml:space="preserve">e significant </w:t>
      </w:r>
      <w:r w:rsidRPr="003203E6">
        <w:t xml:space="preserve">investment </w:t>
      </w:r>
      <w:r>
        <w:t xml:space="preserve">made since IPO </w:t>
      </w:r>
      <w:r w:rsidRPr="003203E6">
        <w:t>in headcount, the underlying internet gaming sys</w:t>
      </w:r>
      <w:r>
        <w:t>tem and sales and marketing has</w:t>
      </w:r>
      <w:r w:rsidRPr="003203E6">
        <w:t xml:space="preserve"> positioned the Group to capitalise on the opportunities presented by our Simulated Gaming</w:t>
      </w:r>
      <w:r w:rsidRPr="003203E6">
        <w:rPr>
          <w:vertAlign w:val="superscript"/>
        </w:rPr>
        <w:t>TM</w:t>
      </w:r>
      <w:r w:rsidRPr="003203E6">
        <w:t xml:space="preserve"> business and real money gaming businesses in sustainable markets. This level of investment is not expected to increase </w:t>
      </w:r>
      <w:r>
        <w:t>significantly</w:t>
      </w:r>
      <w:r w:rsidRPr="003203E6">
        <w:t xml:space="preserve"> </w:t>
      </w:r>
      <w:r>
        <w:t>during</w:t>
      </w:r>
      <w:r w:rsidRPr="003203E6">
        <w:t xml:space="preserve"> the remainder of the year. The Group is focussed primarily on the Simulated Gaming</w:t>
      </w:r>
      <w:r w:rsidRPr="003203E6">
        <w:rPr>
          <w:vertAlign w:val="superscript"/>
        </w:rPr>
        <w:t xml:space="preserve">TM </w:t>
      </w:r>
      <w:r w:rsidRPr="003203E6">
        <w:t xml:space="preserve">product in order to build a </w:t>
      </w:r>
      <w:r>
        <w:t xml:space="preserve">high growth </w:t>
      </w:r>
      <w:r w:rsidRPr="003203E6">
        <w:t>recurring revenue base t</w:t>
      </w:r>
      <w:r>
        <w:t>hat will enable the Group t</w:t>
      </w:r>
      <w:r w:rsidRPr="003203E6">
        <w:t xml:space="preserve">o offset this investment </w:t>
      </w:r>
      <w:r>
        <w:t xml:space="preserve">and achieve sustainable profitability. </w:t>
      </w:r>
      <w:r w:rsidRPr="003203E6">
        <w:t xml:space="preserve">      </w:t>
      </w:r>
    </w:p>
    <w:p w14:paraId="15369AF9" w14:textId="77777777" w:rsidR="00AB4320" w:rsidRDefault="00AB4320" w:rsidP="00AB4320">
      <w:pPr>
        <w:jc w:val="both"/>
      </w:pPr>
    </w:p>
    <w:p w14:paraId="6AE40C7C" w14:textId="77777777" w:rsidR="00EB1A79" w:rsidRPr="003203E6" w:rsidRDefault="00EB1A79" w:rsidP="00AB4320">
      <w:pPr>
        <w:jc w:val="both"/>
      </w:pPr>
    </w:p>
    <w:p w14:paraId="49BFDC92" w14:textId="77777777" w:rsidR="00AB4320" w:rsidRPr="00760A1C" w:rsidRDefault="00AB4320" w:rsidP="00AB4320">
      <w:pPr>
        <w:jc w:val="both"/>
        <w:rPr>
          <w:b/>
        </w:rPr>
      </w:pPr>
      <w:r w:rsidRPr="00760A1C">
        <w:rPr>
          <w:b/>
        </w:rPr>
        <w:t>Cashflow</w:t>
      </w:r>
    </w:p>
    <w:p w14:paraId="607D99B0" w14:textId="77777777" w:rsidR="00AB4320" w:rsidRPr="00760A1C" w:rsidRDefault="00AB4320" w:rsidP="00AB4320">
      <w:pPr>
        <w:jc w:val="both"/>
        <w:rPr>
          <w:b/>
        </w:rPr>
      </w:pPr>
    </w:p>
    <w:p w14:paraId="4D7DEE2C" w14:textId="77777777" w:rsidR="00AB4320" w:rsidRDefault="00AB4320" w:rsidP="00AB4320">
      <w:pPr>
        <w:jc w:val="both"/>
        <w:rPr>
          <w:b/>
          <w:szCs w:val="20"/>
        </w:rPr>
      </w:pPr>
      <w:r w:rsidRPr="00760A1C">
        <w:t>The cash balance at 30 June 201</w:t>
      </w:r>
      <w:r w:rsidR="00521CCE" w:rsidRPr="00760A1C">
        <w:t>5</w:t>
      </w:r>
      <w:r w:rsidRPr="00760A1C">
        <w:t xml:space="preserve"> was £</w:t>
      </w:r>
      <w:r w:rsidR="00521CCE" w:rsidRPr="00760A1C">
        <w:t>7.6</w:t>
      </w:r>
      <w:r w:rsidRPr="00760A1C">
        <w:t>m (201</w:t>
      </w:r>
      <w:r w:rsidR="00521CCE" w:rsidRPr="00760A1C">
        <w:t>4</w:t>
      </w:r>
      <w:r w:rsidRPr="00760A1C">
        <w:t>: £</w:t>
      </w:r>
      <w:r w:rsidR="00521CCE" w:rsidRPr="00760A1C">
        <w:t>14.0</w:t>
      </w:r>
      <w:r w:rsidRPr="00760A1C">
        <w:t xml:space="preserve">m) representing a </w:t>
      </w:r>
      <w:r w:rsidR="00521CCE" w:rsidRPr="00760A1C">
        <w:t>de</w:t>
      </w:r>
      <w:r w:rsidRPr="00760A1C">
        <w:t>crease of £</w:t>
      </w:r>
      <w:r w:rsidR="00521CCE" w:rsidRPr="00760A1C">
        <w:t>6.4</w:t>
      </w:r>
      <w:r w:rsidRPr="00760A1C">
        <w:t>m</w:t>
      </w:r>
      <w:r w:rsidR="00686CF4">
        <w:t xml:space="preserve"> from 30 June 2014.</w:t>
      </w:r>
      <w:r w:rsidR="00D4283E" w:rsidRPr="00760A1C">
        <w:t xml:space="preserve"> </w:t>
      </w:r>
      <w:r w:rsidRPr="00760A1C">
        <w:t>During the</w:t>
      </w:r>
      <w:r w:rsidR="00760A1C" w:rsidRPr="00760A1C">
        <w:t xml:space="preserve"> six </w:t>
      </w:r>
      <w:r w:rsidR="00686CF4" w:rsidRPr="00760A1C">
        <w:t>month period</w:t>
      </w:r>
      <w:r w:rsidRPr="00760A1C">
        <w:t xml:space="preserve"> the Group has continued to invest in </w:t>
      </w:r>
      <w:r w:rsidR="00686CF4">
        <w:t>its</w:t>
      </w:r>
      <w:r w:rsidRPr="00760A1C">
        <w:t xml:space="preserve"> Internet Gaming System deployment capability and</w:t>
      </w:r>
      <w:r w:rsidR="00686CF4">
        <w:t xml:space="preserve"> product enhancement and </w:t>
      </w:r>
      <w:r w:rsidRPr="00760A1C">
        <w:t>cash has decreased by £</w:t>
      </w:r>
      <w:r w:rsidR="00B816E9" w:rsidRPr="00760A1C">
        <w:t>3</w:t>
      </w:r>
      <w:r w:rsidRPr="00760A1C">
        <w:t>.</w:t>
      </w:r>
      <w:r w:rsidR="00686CF4">
        <w:t>2</w:t>
      </w:r>
      <w:r w:rsidRPr="00760A1C">
        <w:t xml:space="preserve">m from </w:t>
      </w:r>
      <w:r w:rsidR="00686CF4">
        <w:t>the</w:t>
      </w:r>
      <w:r w:rsidR="00325EB8">
        <w:t xml:space="preserve"> year-end</w:t>
      </w:r>
      <w:r w:rsidR="00686CF4">
        <w:t xml:space="preserve"> balance at 31 December 2014 (£</w:t>
      </w:r>
      <w:r w:rsidR="00DC6736">
        <w:t>10.8m)</w:t>
      </w:r>
      <w:r w:rsidRPr="00760A1C">
        <w:t xml:space="preserve">. In addition to operating cash </w:t>
      </w:r>
      <w:r w:rsidR="00A95ED6" w:rsidRPr="00760A1C">
        <w:t>out</w:t>
      </w:r>
      <w:r w:rsidRPr="00760A1C">
        <w:t>flow before movements in wor</w:t>
      </w:r>
      <w:r w:rsidR="00B816E9" w:rsidRPr="00760A1C">
        <w:t>king capital and taxation of £1.</w:t>
      </w:r>
      <w:r w:rsidR="006C6D97">
        <w:t>5</w:t>
      </w:r>
      <w:r w:rsidRPr="00760A1C">
        <w:t>m cash outflows during the period include £</w:t>
      </w:r>
      <w:r w:rsidR="00B816E9" w:rsidRPr="00760A1C">
        <w:t>2</w:t>
      </w:r>
      <w:r w:rsidRPr="00760A1C">
        <w:t>.0</w:t>
      </w:r>
      <w:r w:rsidR="00A95ED6" w:rsidRPr="00760A1C">
        <w:t>m</w:t>
      </w:r>
      <w:r w:rsidRPr="00760A1C">
        <w:t xml:space="preserve"> in incremental investment in intangible fixed assets primarily related to the capitalisation of internal development time and £0.</w:t>
      </w:r>
      <w:r w:rsidR="00B816E9" w:rsidRPr="00760A1C">
        <w:t>4</w:t>
      </w:r>
      <w:r w:rsidR="00A95ED6" w:rsidRPr="00760A1C">
        <w:t>m</w:t>
      </w:r>
      <w:r w:rsidRPr="00760A1C">
        <w:t xml:space="preserve"> invested in fixed </w:t>
      </w:r>
      <w:r w:rsidR="00DC6736">
        <w:t xml:space="preserve">assets </w:t>
      </w:r>
      <w:r w:rsidR="00535C79" w:rsidRPr="00760A1C">
        <w:t>offset by positive working capital</w:t>
      </w:r>
      <w:r w:rsidR="00760A1C" w:rsidRPr="00760A1C">
        <w:t xml:space="preserve"> movements</w:t>
      </w:r>
      <w:r w:rsidR="00535C79" w:rsidRPr="00760A1C">
        <w:t xml:space="preserve"> of £0.</w:t>
      </w:r>
      <w:r w:rsidR="00DC6736">
        <w:t>7</w:t>
      </w:r>
      <w:r w:rsidR="00535C79" w:rsidRPr="00760A1C">
        <w:t>m.</w:t>
      </w:r>
    </w:p>
    <w:p w14:paraId="7326E3C6" w14:textId="77777777" w:rsidR="00AB4320" w:rsidRDefault="00AB4320" w:rsidP="00AB4320">
      <w:pPr>
        <w:jc w:val="both"/>
        <w:rPr>
          <w:b/>
          <w:szCs w:val="20"/>
        </w:rPr>
      </w:pPr>
    </w:p>
    <w:p w14:paraId="35FD224F" w14:textId="77777777" w:rsidR="00AB4320" w:rsidRDefault="00AB4320" w:rsidP="00AB4320">
      <w:pPr>
        <w:jc w:val="both"/>
        <w:rPr>
          <w:b/>
          <w:szCs w:val="20"/>
        </w:rPr>
      </w:pPr>
    </w:p>
    <w:p w14:paraId="4B1A0272" w14:textId="77777777" w:rsidR="00D5616E" w:rsidRDefault="00D5616E" w:rsidP="00AB4320">
      <w:pPr>
        <w:jc w:val="both"/>
        <w:rPr>
          <w:b/>
          <w:szCs w:val="20"/>
        </w:rPr>
      </w:pPr>
    </w:p>
    <w:p w14:paraId="3FDCAFC6" w14:textId="77777777" w:rsidR="00D5616E" w:rsidRDefault="00D5616E" w:rsidP="00AB4320">
      <w:pPr>
        <w:jc w:val="both"/>
        <w:rPr>
          <w:b/>
          <w:szCs w:val="20"/>
        </w:rPr>
      </w:pPr>
    </w:p>
    <w:p w14:paraId="10500909" w14:textId="77777777" w:rsidR="00D5616E" w:rsidRDefault="00D5616E" w:rsidP="00AB4320">
      <w:pPr>
        <w:jc w:val="both"/>
        <w:rPr>
          <w:b/>
          <w:szCs w:val="20"/>
        </w:rPr>
      </w:pPr>
    </w:p>
    <w:p w14:paraId="69776A65" w14:textId="77777777" w:rsidR="00D5616E" w:rsidRDefault="00D5616E" w:rsidP="00AB4320">
      <w:pPr>
        <w:jc w:val="both"/>
        <w:rPr>
          <w:b/>
          <w:szCs w:val="20"/>
        </w:rPr>
      </w:pPr>
    </w:p>
    <w:p w14:paraId="25399383" w14:textId="77777777" w:rsidR="00D5616E" w:rsidRDefault="00D5616E" w:rsidP="00AB4320">
      <w:pPr>
        <w:jc w:val="both"/>
        <w:rPr>
          <w:b/>
          <w:szCs w:val="20"/>
        </w:rPr>
      </w:pPr>
    </w:p>
    <w:p w14:paraId="2CDCD4DE" w14:textId="77777777" w:rsidR="00AB4320" w:rsidRPr="00A430D3" w:rsidRDefault="00AB4320" w:rsidP="00AB4320">
      <w:pPr>
        <w:jc w:val="both"/>
        <w:rPr>
          <w:b/>
          <w:szCs w:val="20"/>
        </w:rPr>
      </w:pPr>
      <w:r w:rsidRPr="00A430D3">
        <w:rPr>
          <w:b/>
          <w:szCs w:val="20"/>
        </w:rPr>
        <w:t>KEY PERFORMANCE INDICATORS</w:t>
      </w:r>
    </w:p>
    <w:p w14:paraId="2EDF1F0B" w14:textId="77777777" w:rsidR="00AB4320" w:rsidRDefault="00AB4320" w:rsidP="00AB4320">
      <w:pPr>
        <w:jc w:val="both"/>
        <w:rPr>
          <w:szCs w:val="20"/>
        </w:rPr>
      </w:pPr>
    </w:p>
    <w:p w14:paraId="40B6AD08" w14:textId="77777777" w:rsidR="00AB4320" w:rsidRDefault="00AB4320" w:rsidP="00AB4320">
      <w:pPr>
        <w:jc w:val="both"/>
        <w:rPr>
          <w:szCs w:val="20"/>
        </w:rPr>
      </w:pPr>
      <w:r>
        <w:rPr>
          <w:szCs w:val="20"/>
        </w:rPr>
        <w:t xml:space="preserve">The performance of the group during the year demonstrates  the group’s strategy to both consolidate the core gaming content distribution business in Europe and to grow through higher margin revenue opportunities including IGS sales and Game Development in regulated markets. The directors regard clean earnings before </w:t>
      </w:r>
      <w:r w:rsidR="00C577F1">
        <w:rPr>
          <w:szCs w:val="20"/>
        </w:rPr>
        <w:t xml:space="preserve">interest, tax, depreciation, </w:t>
      </w:r>
      <w:r>
        <w:rPr>
          <w:szCs w:val="20"/>
        </w:rPr>
        <w:t>amortisation</w:t>
      </w:r>
      <w:r w:rsidR="00C577F1">
        <w:rPr>
          <w:szCs w:val="20"/>
        </w:rPr>
        <w:t>, share based payment expense and other items</w:t>
      </w:r>
      <w:r>
        <w:rPr>
          <w:szCs w:val="20"/>
        </w:rPr>
        <w:t xml:space="preserve"> (“Clean EBITDA”) as a reliable measure of profits and the group’s key performance indicators are set out below:</w:t>
      </w:r>
    </w:p>
    <w:p w14:paraId="3B18E30C" w14:textId="77777777" w:rsidR="00AB4320" w:rsidRDefault="00AB4320" w:rsidP="00AB4320">
      <w:pPr>
        <w:jc w:val="both"/>
        <w:rPr>
          <w:szCs w:val="20"/>
        </w:rPr>
      </w:pPr>
    </w:p>
    <w:tbl>
      <w:tblPr>
        <w:tblW w:w="4758" w:type="pct"/>
        <w:jc w:val="center"/>
        <w:tblCellMar>
          <w:left w:w="72" w:type="dxa"/>
          <w:right w:w="72" w:type="dxa"/>
        </w:tblCellMar>
        <w:tblLook w:val="0000" w:firstRow="0" w:lastRow="0" w:firstColumn="0" w:lastColumn="0" w:noHBand="0" w:noVBand="0"/>
      </w:tblPr>
      <w:tblGrid>
        <w:gridCol w:w="6899"/>
        <w:gridCol w:w="1138"/>
        <w:gridCol w:w="1138"/>
      </w:tblGrid>
      <w:tr w:rsidR="00AB4320" w:rsidRPr="002F3885" w14:paraId="74D96F58" w14:textId="77777777">
        <w:trPr>
          <w:cantSplit/>
          <w:trHeight w:val="249"/>
          <w:jc w:val="center"/>
        </w:trPr>
        <w:tc>
          <w:tcPr>
            <w:tcW w:w="3760" w:type="pct"/>
          </w:tcPr>
          <w:p w14:paraId="44CB26B7" w14:textId="77777777" w:rsidR="00AB4320" w:rsidRPr="002F3885" w:rsidRDefault="00AB4320" w:rsidP="00AB4320">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p>
        </w:tc>
        <w:tc>
          <w:tcPr>
            <w:tcW w:w="620" w:type="pct"/>
            <w:vAlign w:val="bottom"/>
          </w:tcPr>
          <w:p w14:paraId="40990EC6" w14:textId="77777777" w:rsidR="00AB4320" w:rsidRPr="00234C2D" w:rsidRDefault="000E3079" w:rsidP="00760EC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Pr>
                <w:b/>
                <w:lang w:val="en-US"/>
              </w:rPr>
              <w:t xml:space="preserve">H1 </w:t>
            </w:r>
            <w:r w:rsidR="00AB4320">
              <w:rPr>
                <w:b/>
                <w:lang w:val="en-US"/>
              </w:rPr>
              <w:t>201</w:t>
            </w:r>
            <w:r w:rsidR="00760ECA">
              <w:rPr>
                <w:b/>
                <w:lang w:val="en-US"/>
              </w:rPr>
              <w:t>5</w:t>
            </w:r>
          </w:p>
        </w:tc>
        <w:tc>
          <w:tcPr>
            <w:tcW w:w="620" w:type="pct"/>
            <w:vAlign w:val="bottom"/>
          </w:tcPr>
          <w:p w14:paraId="4AD8A908" w14:textId="77777777" w:rsidR="00AB4320" w:rsidRPr="00234C2D" w:rsidRDefault="00760ECA" w:rsidP="00AB432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Pr>
                <w:b/>
                <w:lang w:val="en-US"/>
              </w:rPr>
              <w:t>H1 2014</w:t>
            </w:r>
          </w:p>
        </w:tc>
      </w:tr>
      <w:tr w:rsidR="00AB4320" w:rsidRPr="002F3885" w14:paraId="0A6FECC2" w14:textId="77777777">
        <w:trPr>
          <w:cantSplit/>
          <w:trHeight w:val="249"/>
          <w:jc w:val="center"/>
        </w:trPr>
        <w:tc>
          <w:tcPr>
            <w:tcW w:w="3760" w:type="pct"/>
          </w:tcPr>
          <w:p w14:paraId="54918232" w14:textId="77777777" w:rsidR="00AB4320" w:rsidRPr="002F3885" w:rsidRDefault="00AB4320" w:rsidP="00AB4320">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p>
        </w:tc>
        <w:tc>
          <w:tcPr>
            <w:tcW w:w="620" w:type="pct"/>
            <w:vAlign w:val="bottom"/>
          </w:tcPr>
          <w:p w14:paraId="6D3CA27C" w14:textId="77777777" w:rsidR="00AB4320" w:rsidRPr="00234C2D" w:rsidRDefault="00AB4320" w:rsidP="00AB432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sidRPr="00234C2D">
              <w:rPr>
                <w:b/>
                <w:lang w:val="en-US"/>
              </w:rPr>
              <w:t>£000</w:t>
            </w:r>
          </w:p>
        </w:tc>
        <w:tc>
          <w:tcPr>
            <w:tcW w:w="620" w:type="pct"/>
            <w:vAlign w:val="bottom"/>
          </w:tcPr>
          <w:p w14:paraId="4A326595" w14:textId="77777777" w:rsidR="00AB4320" w:rsidRPr="00234C2D" w:rsidRDefault="00AB4320" w:rsidP="00AB432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sidRPr="00234C2D">
              <w:rPr>
                <w:b/>
                <w:lang w:val="en-US"/>
              </w:rPr>
              <w:t>£000</w:t>
            </w:r>
          </w:p>
        </w:tc>
      </w:tr>
      <w:tr w:rsidR="00760ECA" w:rsidRPr="002F3885" w14:paraId="06FA0212" w14:textId="77777777">
        <w:trPr>
          <w:cantSplit/>
          <w:trHeight w:val="249"/>
          <w:jc w:val="center"/>
        </w:trPr>
        <w:tc>
          <w:tcPr>
            <w:tcW w:w="3760" w:type="pct"/>
          </w:tcPr>
          <w:p w14:paraId="02DA89F9" w14:textId="77777777" w:rsidR="00760ECA" w:rsidRPr="002F3885" w:rsidRDefault="00760ECA" w:rsidP="00AB4320">
            <w:pPr>
              <w:widowControl/>
              <w:tabs>
                <w:tab w:val="right" w:leader="dot" w:pos="7300"/>
              </w:tabs>
              <w:suppressAutoHyphens/>
              <w:ind w:left="200" w:hanging="200"/>
              <w:rPr>
                <w:lang w:val="en-US"/>
              </w:rPr>
            </w:pPr>
            <w:r w:rsidRPr="002F3885">
              <w:rPr>
                <w:lang w:val="en-US"/>
              </w:rPr>
              <w:t>Gross income from gaming operations and services</w:t>
            </w:r>
          </w:p>
        </w:tc>
        <w:tc>
          <w:tcPr>
            <w:tcW w:w="620" w:type="pct"/>
            <w:vAlign w:val="bottom"/>
          </w:tcPr>
          <w:p w14:paraId="14EBD17A" w14:textId="77777777" w:rsidR="00760ECA" w:rsidRPr="002F3885" w:rsidRDefault="005254D3" w:rsidP="0040369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13,</w:t>
            </w:r>
            <w:r w:rsidR="0040369F">
              <w:rPr>
                <w:lang w:val="en-US"/>
              </w:rPr>
              <w:t>383</w:t>
            </w:r>
          </w:p>
        </w:tc>
        <w:tc>
          <w:tcPr>
            <w:tcW w:w="620" w:type="pct"/>
            <w:vAlign w:val="bottom"/>
          </w:tcPr>
          <w:p w14:paraId="35CFFBC2" w14:textId="77777777" w:rsidR="00760ECA" w:rsidRPr="002F3885"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13,231</w:t>
            </w:r>
          </w:p>
        </w:tc>
      </w:tr>
      <w:tr w:rsidR="00760ECA" w:rsidRPr="002F3885" w14:paraId="6466AF79" w14:textId="77777777">
        <w:trPr>
          <w:cantSplit/>
          <w:trHeight w:val="249"/>
          <w:jc w:val="center"/>
        </w:trPr>
        <w:tc>
          <w:tcPr>
            <w:tcW w:w="3760" w:type="pct"/>
          </w:tcPr>
          <w:p w14:paraId="402E0FAE" w14:textId="77777777" w:rsidR="00760ECA" w:rsidRPr="002F3885" w:rsidRDefault="00760ECA" w:rsidP="00AB4320">
            <w:pPr>
              <w:widowControl/>
              <w:tabs>
                <w:tab w:val="right" w:leader="dot" w:pos="7300"/>
              </w:tabs>
              <w:suppressAutoHyphens/>
              <w:ind w:left="200" w:hanging="200"/>
              <w:rPr>
                <w:lang w:val="en-US"/>
              </w:rPr>
            </w:pPr>
            <w:r>
              <w:rPr>
                <w:lang w:val="en-US"/>
              </w:rPr>
              <w:t>Net revenue</w:t>
            </w:r>
          </w:p>
        </w:tc>
        <w:tc>
          <w:tcPr>
            <w:tcW w:w="620" w:type="pct"/>
            <w:vAlign w:val="bottom"/>
          </w:tcPr>
          <w:p w14:paraId="421C6751" w14:textId="77777777" w:rsidR="00760ECA" w:rsidRPr="002F3885" w:rsidRDefault="005254D3" w:rsidP="0040369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40369F">
              <w:rPr>
                <w:lang w:val="en-US"/>
              </w:rPr>
              <w:t>892</w:t>
            </w:r>
          </w:p>
        </w:tc>
        <w:tc>
          <w:tcPr>
            <w:tcW w:w="620" w:type="pct"/>
            <w:vAlign w:val="bottom"/>
          </w:tcPr>
          <w:p w14:paraId="56B477D9" w14:textId="77777777" w:rsidR="00760ECA" w:rsidRPr="002F3885"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4,166</w:t>
            </w:r>
          </w:p>
        </w:tc>
      </w:tr>
      <w:tr w:rsidR="00760ECA" w:rsidRPr="002F3885" w14:paraId="1440C880" w14:textId="77777777">
        <w:trPr>
          <w:cantSplit/>
          <w:trHeight w:val="249"/>
          <w:jc w:val="center"/>
        </w:trPr>
        <w:tc>
          <w:tcPr>
            <w:tcW w:w="3760" w:type="pct"/>
          </w:tcPr>
          <w:p w14:paraId="5266A786" w14:textId="77777777" w:rsidR="00760ECA" w:rsidRPr="002F3885" w:rsidRDefault="00760ECA" w:rsidP="00AB4320">
            <w:pPr>
              <w:widowControl/>
              <w:tabs>
                <w:tab w:val="right" w:leader="dot" w:pos="7300"/>
              </w:tabs>
              <w:suppressAutoHyphens/>
              <w:ind w:left="200" w:hanging="200"/>
              <w:rPr>
                <w:lang w:val="en-US"/>
              </w:rPr>
            </w:pPr>
            <w:r>
              <w:rPr>
                <w:lang w:val="en-US"/>
              </w:rPr>
              <w:t>Clean EBITDA</w:t>
            </w:r>
          </w:p>
        </w:tc>
        <w:tc>
          <w:tcPr>
            <w:tcW w:w="620" w:type="pct"/>
            <w:vAlign w:val="bottom"/>
          </w:tcPr>
          <w:p w14:paraId="47358F1B" w14:textId="77777777" w:rsidR="00760ECA" w:rsidRPr="002F3885" w:rsidRDefault="005254D3" w:rsidP="006C6D9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w:t>
            </w:r>
            <w:r w:rsidR="006C6D97">
              <w:rPr>
                <w:lang w:val="en-US"/>
              </w:rPr>
              <w:t>476</w:t>
            </w:r>
            <w:r>
              <w:rPr>
                <w:lang w:val="en-US"/>
              </w:rPr>
              <w:t>)</w:t>
            </w:r>
          </w:p>
        </w:tc>
        <w:tc>
          <w:tcPr>
            <w:tcW w:w="620" w:type="pct"/>
            <w:vAlign w:val="bottom"/>
          </w:tcPr>
          <w:p w14:paraId="6CBFC6F6" w14:textId="77777777" w:rsidR="00760ECA" w:rsidRPr="002F3885" w:rsidRDefault="00760ECA" w:rsidP="006C6D9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r w:rsidR="006C6D97">
              <w:rPr>
                <w:lang w:val="en-US"/>
              </w:rPr>
              <w:t>444</w:t>
            </w:r>
            <w:r>
              <w:rPr>
                <w:lang w:val="en-US"/>
              </w:rPr>
              <w:t>)</w:t>
            </w:r>
          </w:p>
        </w:tc>
      </w:tr>
      <w:tr w:rsidR="00760ECA" w:rsidRPr="002F3885" w14:paraId="1D38612C" w14:textId="77777777">
        <w:trPr>
          <w:cantSplit/>
          <w:trHeight w:val="249"/>
          <w:jc w:val="center"/>
        </w:trPr>
        <w:tc>
          <w:tcPr>
            <w:tcW w:w="3760" w:type="pct"/>
          </w:tcPr>
          <w:p w14:paraId="1458972B" w14:textId="77777777" w:rsidR="00760ECA" w:rsidRPr="002F3885" w:rsidRDefault="00760ECA" w:rsidP="00AB4320">
            <w:pPr>
              <w:widowControl/>
              <w:tabs>
                <w:tab w:val="right" w:leader="dot" w:pos="7300"/>
              </w:tabs>
              <w:suppressAutoHyphens/>
              <w:ind w:left="200" w:hanging="200"/>
              <w:rPr>
                <w:lang w:val="en-US"/>
              </w:rPr>
            </w:pPr>
            <w:r>
              <w:rPr>
                <w:lang w:val="en-US"/>
              </w:rPr>
              <w:t>Net assets</w:t>
            </w:r>
          </w:p>
        </w:tc>
        <w:tc>
          <w:tcPr>
            <w:tcW w:w="620" w:type="pct"/>
            <w:vAlign w:val="bottom"/>
          </w:tcPr>
          <w:p w14:paraId="25ABF6BC" w14:textId="77777777" w:rsidR="00760ECA" w:rsidRPr="002F3885" w:rsidRDefault="00AE45B8" w:rsidP="006C6D9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12,</w:t>
            </w:r>
            <w:r w:rsidR="006C6D97">
              <w:rPr>
                <w:lang w:val="en-US"/>
              </w:rPr>
              <w:t>632</w:t>
            </w:r>
          </w:p>
        </w:tc>
        <w:tc>
          <w:tcPr>
            <w:tcW w:w="620" w:type="pct"/>
            <w:vAlign w:val="bottom"/>
          </w:tcPr>
          <w:p w14:paraId="512540EB" w14:textId="77777777" w:rsidR="00760ECA" w:rsidRPr="002F3885"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16,860</w:t>
            </w:r>
          </w:p>
        </w:tc>
      </w:tr>
      <w:tr w:rsidR="00760ECA" w:rsidRPr="002F3885" w14:paraId="798E8760" w14:textId="77777777">
        <w:trPr>
          <w:cantSplit/>
          <w:trHeight w:val="249"/>
          <w:jc w:val="center"/>
        </w:trPr>
        <w:tc>
          <w:tcPr>
            <w:tcW w:w="3760" w:type="pct"/>
          </w:tcPr>
          <w:p w14:paraId="16F49ABF" w14:textId="77777777" w:rsidR="00760ECA" w:rsidRPr="002F3885" w:rsidRDefault="00760ECA" w:rsidP="00AB4320">
            <w:pPr>
              <w:widowControl/>
              <w:tabs>
                <w:tab w:val="right" w:leader="dot" w:pos="7300"/>
              </w:tabs>
              <w:suppressAutoHyphens/>
              <w:ind w:left="200" w:hanging="200"/>
              <w:rPr>
                <w:lang w:val="en-US"/>
              </w:rPr>
            </w:pPr>
            <w:r>
              <w:rPr>
                <w:lang w:val="en-US"/>
              </w:rPr>
              <w:t>Cash and cash equivalents</w:t>
            </w:r>
          </w:p>
        </w:tc>
        <w:tc>
          <w:tcPr>
            <w:tcW w:w="620" w:type="pct"/>
            <w:vAlign w:val="bottom"/>
          </w:tcPr>
          <w:p w14:paraId="40E148FC" w14:textId="77777777" w:rsidR="00760ECA" w:rsidRPr="002F3885" w:rsidRDefault="00AE45B8" w:rsidP="005174A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w:t>
            </w:r>
            <w:r w:rsidR="005174A3">
              <w:rPr>
                <w:lang w:val="en-US"/>
              </w:rPr>
              <w:t>622</w:t>
            </w:r>
          </w:p>
        </w:tc>
        <w:tc>
          <w:tcPr>
            <w:tcW w:w="620" w:type="pct"/>
            <w:vAlign w:val="bottom"/>
          </w:tcPr>
          <w:p w14:paraId="1DB9BCD9" w14:textId="77777777" w:rsidR="00760ECA" w:rsidRPr="002F3885"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14,033</w:t>
            </w:r>
          </w:p>
        </w:tc>
      </w:tr>
      <w:tr w:rsidR="00AB4320" w:rsidRPr="002F3885" w14:paraId="4C55E415" w14:textId="77777777">
        <w:trPr>
          <w:cantSplit/>
          <w:trHeight w:val="282"/>
          <w:jc w:val="center"/>
        </w:trPr>
        <w:tc>
          <w:tcPr>
            <w:tcW w:w="3760" w:type="pct"/>
          </w:tcPr>
          <w:p w14:paraId="6BEC7711" w14:textId="77777777" w:rsidR="00AB4320" w:rsidRPr="002F3885" w:rsidRDefault="00AB4320" w:rsidP="00AB4320">
            <w:pPr>
              <w:widowControl/>
              <w:tabs>
                <w:tab w:val="right" w:leader="dot" w:pos="7300"/>
              </w:tabs>
              <w:suppressAutoHyphens/>
              <w:spacing w:after="20"/>
              <w:ind w:left="200" w:hanging="200"/>
              <w:rPr>
                <w:lang w:val="en-US"/>
              </w:rPr>
            </w:pPr>
          </w:p>
        </w:tc>
        <w:tc>
          <w:tcPr>
            <w:tcW w:w="620" w:type="pct"/>
            <w:vAlign w:val="bottom"/>
          </w:tcPr>
          <w:p w14:paraId="69A0B77E" w14:textId="77777777" w:rsidR="00AB4320" w:rsidRPr="002F3885" w:rsidRDefault="00AB4320" w:rsidP="00AB432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620" w:type="pct"/>
            <w:vAlign w:val="bottom"/>
          </w:tcPr>
          <w:p w14:paraId="55AC4167" w14:textId="77777777" w:rsidR="00AB4320" w:rsidRPr="002F3885" w:rsidRDefault="00AB4320" w:rsidP="00AB432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r>
    </w:tbl>
    <w:p w14:paraId="161BE767" w14:textId="77777777" w:rsidR="00AB4320" w:rsidRDefault="00AB4320" w:rsidP="00AB4320">
      <w:pPr>
        <w:jc w:val="both"/>
        <w:rPr>
          <w:szCs w:val="20"/>
        </w:rPr>
      </w:pPr>
    </w:p>
    <w:p w14:paraId="478911DD" w14:textId="77777777" w:rsidR="00AB4320" w:rsidRDefault="00AB4320" w:rsidP="00AB4320">
      <w:pPr>
        <w:jc w:val="both"/>
        <w:rPr>
          <w:szCs w:val="20"/>
        </w:rPr>
      </w:pPr>
    </w:p>
    <w:p w14:paraId="707F3502" w14:textId="77777777" w:rsidR="00AB4320" w:rsidRDefault="00AB4320" w:rsidP="00AB4320">
      <w:pPr>
        <w:jc w:val="both"/>
        <w:rPr>
          <w:szCs w:val="20"/>
        </w:rPr>
      </w:pPr>
      <w:r w:rsidRPr="00D06F5A">
        <w:rPr>
          <w:szCs w:val="20"/>
        </w:rPr>
        <w:t>The Board</w:t>
      </w:r>
      <w:r>
        <w:rPr>
          <w:szCs w:val="20"/>
        </w:rPr>
        <w:t xml:space="preserve"> also monitor customer related KPIs, including n</w:t>
      </w:r>
      <w:r w:rsidR="000E3079">
        <w:rPr>
          <w:szCs w:val="20"/>
        </w:rPr>
        <w:t>umber</w:t>
      </w:r>
      <w:r>
        <w:rPr>
          <w:szCs w:val="20"/>
        </w:rPr>
        <w:t xml:space="preserve"> of active players</w:t>
      </w:r>
      <w:r w:rsidRPr="00D06F5A">
        <w:rPr>
          <w:szCs w:val="20"/>
        </w:rPr>
        <w:t>,</w:t>
      </w:r>
      <w:r>
        <w:rPr>
          <w:szCs w:val="20"/>
        </w:rPr>
        <w:t xml:space="preserve"> revenue by partner, business segment profitability and geographic split of turnover.</w:t>
      </w:r>
    </w:p>
    <w:p w14:paraId="5B2172E1" w14:textId="77777777" w:rsidR="00AB4320" w:rsidRDefault="00AB4320" w:rsidP="00AB4320">
      <w:pPr>
        <w:keepNext/>
        <w:keepLines/>
        <w:widowControl/>
        <w:tabs>
          <w:tab w:val="left" w:pos="720"/>
          <w:tab w:val="left" w:pos="1440"/>
          <w:tab w:val="center" w:pos="5400"/>
        </w:tabs>
        <w:suppressAutoHyphens/>
        <w:spacing w:after="240"/>
        <w:rPr>
          <w:szCs w:val="20"/>
        </w:rPr>
      </w:pPr>
    </w:p>
    <w:p w14:paraId="2D4103F9" w14:textId="77777777" w:rsidR="00AB4320" w:rsidRDefault="00AB4320" w:rsidP="00AB4320">
      <w:pPr>
        <w:widowControl/>
        <w:autoSpaceDE/>
        <w:autoSpaceDN/>
        <w:adjustRightInd/>
        <w:rPr>
          <w:szCs w:val="20"/>
        </w:rPr>
      </w:pPr>
    </w:p>
    <w:p w14:paraId="32421FF4" w14:textId="77777777" w:rsidR="00AB4320" w:rsidRDefault="00AB4320" w:rsidP="00AB4320">
      <w:pPr>
        <w:jc w:val="both"/>
      </w:pPr>
    </w:p>
    <w:p w14:paraId="2DD0ABD5" w14:textId="77777777" w:rsidR="00D5616E" w:rsidRDefault="00D5616E" w:rsidP="00AB4320">
      <w:pPr>
        <w:jc w:val="both"/>
      </w:pPr>
    </w:p>
    <w:p w14:paraId="395CDC34" w14:textId="77777777" w:rsidR="00D5616E" w:rsidRDefault="00D5616E" w:rsidP="00AB4320">
      <w:pPr>
        <w:jc w:val="both"/>
      </w:pPr>
    </w:p>
    <w:p w14:paraId="3A7877DB" w14:textId="77777777" w:rsidR="00D5616E" w:rsidRDefault="00D5616E" w:rsidP="00AB4320">
      <w:pPr>
        <w:jc w:val="both"/>
      </w:pPr>
    </w:p>
    <w:p w14:paraId="3A9AD28B" w14:textId="77777777" w:rsidR="00D5616E" w:rsidRDefault="00D5616E" w:rsidP="00AB4320">
      <w:pPr>
        <w:jc w:val="both"/>
      </w:pPr>
    </w:p>
    <w:p w14:paraId="608BEAFF" w14:textId="77777777" w:rsidR="00D5616E" w:rsidRDefault="00D5616E" w:rsidP="00AB4320">
      <w:pPr>
        <w:jc w:val="both"/>
      </w:pPr>
    </w:p>
    <w:p w14:paraId="72C323EE" w14:textId="77777777" w:rsidR="00D5616E" w:rsidRDefault="00D5616E" w:rsidP="00AB4320">
      <w:pPr>
        <w:jc w:val="both"/>
      </w:pPr>
    </w:p>
    <w:p w14:paraId="434665DC" w14:textId="77777777" w:rsidR="00D5616E" w:rsidRDefault="00D5616E" w:rsidP="00AB4320">
      <w:pPr>
        <w:jc w:val="both"/>
      </w:pPr>
    </w:p>
    <w:p w14:paraId="7EBE8142" w14:textId="77777777" w:rsidR="00D5616E" w:rsidRDefault="00D5616E" w:rsidP="00AB4320">
      <w:pPr>
        <w:jc w:val="both"/>
      </w:pPr>
    </w:p>
    <w:p w14:paraId="6D71C719" w14:textId="77777777" w:rsidR="00D5616E" w:rsidRDefault="00D5616E" w:rsidP="00AB4320">
      <w:pPr>
        <w:jc w:val="both"/>
      </w:pPr>
    </w:p>
    <w:p w14:paraId="40EFE951" w14:textId="77777777" w:rsidR="00D5616E" w:rsidRDefault="00D5616E" w:rsidP="00AB4320">
      <w:pPr>
        <w:jc w:val="both"/>
      </w:pPr>
    </w:p>
    <w:p w14:paraId="4ED69D2B" w14:textId="77777777" w:rsidR="00D5616E" w:rsidRDefault="00D5616E" w:rsidP="00AB4320">
      <w:pPr>
        <w:jc w:val="both"/>
      </w:pPr>
    </w:p>
    <w:p w14:paraId="1A58652C" w14:textId="77777777" w:rsidR="00D5616E" w:rsidRDefault="00D5616E" w:rsidP="00AB4320">
      <w:pPr>
        <w:jc w:val="both"/>
      </w:pPr>
    </w:p>
    <w:p w14:paraId="4C2E07B3" w14:textId="77777777" w:rsidR="00D5616E" w:rsidRDefault="00D5616E" w:rsidP="00AB4320">
      <w:pPr>
        <w:jc w:val="both"/>
      </w:pPr>
    </w:p>
    <w:p w14:paraId="1CEA3925" w14:textId="77777777" w:rsidR="00D5616E" w:rsidRDefault="00D5616E" w:rsidP="00AB4320">
      <w:pPr>
        <w:jc w:val="both"/>
      </w:pPr>
    </w:p>
    <w:p w14:paraId="609EEF1F" w14:textId="77777777" w:rsidR="00D5616E" w:rsidRDefault="00D5616E" w:rsidP="00AB4320">
      <w:pPr>
        <w:jc w:val="both"/>
      </w:pPr>
    </w:p>
    <w:p w14:paraId="4C485852" w14:textId="77777777" w:rsidR="00D5616E" w:rsidRDefault="00D5616E" w:rsidP="00AB4320">
      <w:pPr>
        <w:jc w:val="both"/>
      </w:pPr>
    </w:p>
    <w:p w14:paraId="0E711663" w14:textId="77777777" w:rsidR="00D5616E" w:rsidRDefault="00D5616E" w:rsidP="00AB4320">
      <w:pPr>
        <w:jc w:val="both"/>
      </w:pPr>
    </w:p>
    <w:p w14:paraId="23748A37" w14:textId="77777777" w:rsidR="00D5616E" w:rsidRDefault="00D5616E" w:rsidP="00AB4320">
      <w:pPr>
        <w:jc w:val="both"/>
      </w:pPr>
    </w:p>
    <w:p w14:paraId="48E726F0" w14:textId="77777777" w:rsidR="00D5616E" w:rsidRDefault="00D5616E" w:rsidP="00AB4320">
      <w:pPr>
        <w:jc w:val="both"/>
      </w:pPr>
    </w:p>
    <w:p w14:paraId="66CD9F8D" w14:textId="77777777" w:rsidR="00D5616E" w:rsidRDefault="00D5616E" w:rsidP="00AB4320">
      <w:pPr>
        <w:jc w:val="both"/>
      </w:pPr>
    </w:p>
    <w:p w14:paraId="796EC04E" w14:textId="77777777" w:rsidR="00D5616E" w:rsidRDefault="00D5616E" w:rsidP="00AB4320">
      <w:pPr>
        <w:jc w:val="both"/>
      </w:pPr>
    </w:p>
    <w:p w14:paraId="28D4799B" w14:textId="77777777" w:rsidR="00D5616E" w:rsidRDefault="00D5616E" w:rsidP="00AB4320">
      <w:pPr>
        <w:jc w:val="both"/>
      </w:pPr>
    </w:p>
    <w:p w14:paraId="7A4A0027" w14:textId="77777777" w:rsidR="00D5616E" w:rsidRDefault="00D5616E" w:rsidP="00AB4320">
      <w:pPr>
        <w:jc w:val="both"/>
      </w:pPr>
    </w:p>
    <w:p w14:paraId="03F4D800" w14:textId="77777777" w:rsidR="00D5616E" w:rsidRDefault="00D5616E" w:rsidP="00AB4320">
      <w:pPr>
        <w:jc w:val="both"/>
      </w:pPr>
    </w:p>
    <w:p w14:paraId="630F26FA" w14:textId="77777777" w:rsidR="00D5616E" w:rsidRDefault="00D5616E" w:rsidP="00AB4320">
      <w:pPr>
        <w:jc w:val="both"/>
      </w:pPr>
    </w:p>
    <w:p w14:paraId="575740C0" w14:textId="77777777" w:rsidR="00D5616E" w:rsidRDefault="00D5616E" w:rsidP="00AB4320">
      <w:pPr>
        <w:jc w:val="both"/>
      </w:pPr>
    </w:p>
    <w:p w14:paraId="495BF039" w14:textId="77777777" w:rsidR="00D5616E" w:rsidRDefault="00D5616E" w:rsidP="00AB4320">
      <w:pPr>
        <w:jc w:val="both"/>
      </w:pPr>
    </w:p>
    <w:p w14:paraId="671B98D1" w14:textId="77777777" w:rsidR="00D5616E" w:rsidRDefault="00D5616E" w:rsidP="00AB4320">
      <w:pPr>
        <w:jc w:val="both"/>
      </w:pPr>
    </w:p>
    <w:p w14:paraId="28C26929" w14:textId="77777777" w:rsidR="00D5616E" w:rsidRDefault="00D5616E" w:rsidP="00AB4320">
      <w:pPr>
        <w:jc w:val="both"/>
      </w:pPr>
    </w:p>
    <w:p w14:paraId="45491E90" w14:textId="77777777" w:rsidR="00327AD8" w:rsidRPr="00221793" w:rsidRDefault="00327AD8" w:rsidP="003C1425">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21265DE5" w14:textId="77777777" w:rsidR="00327AD8" w:rsidRPr="00221793" w:rsidRDefault="00327AD8" w:rsidP="009D113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3</w:t>
      </w:r>
      <w:r w:rsidR="009D36CE">
        <w:rPr>
          <w:b/>
          <w:bCs/>
          <w:sz w:val="24"/>
          <w:szCs w:val="24"/>
          <w:lang w:val="en-US"/>
        </w:rPr>
        <w:t>0</w:t>
      </w:r>
      <w:r w:rsidRPr="00221793">
        <w:rPr>
          <w:b/>
          <w:bCs/>
          <w:sz w:val="24"/>
          <w:szCs w:val="24"/>
          <w:lang w:val="en-US"/>
        </w:rPr>
        <w:t xml:space="preserve"> </w:t>
      </w:r>
      <w:r w:rsidR="009D36CE">
        <w:rPr>
          <w:b/>
          <w:bCs/>
          <w:sz w:val="24"/>
          <w:szCs w:val="24"/>
          <w:lang w:val="en-US"/>
        </w:rPr>
        <w:t>June 201</w:t>
      </w:r>
      <w:r w:rsidR="00760ECA">
        <w:rPr>
          <w:b/>
          <w:bCs/>
          <w:sz w:val="24"/>
          <w:szCs w:val="24"/>
          <w:lang w:val="en-US"/>
        </w:rPr>
        <w:t>5</w:t>
      </w:r>
    </w:p>
    <w:p w14:paraId="57ECDD07" w14:textId="77777777" w:rsidR="009D1134" w:rsidRPr="00221793" w:rsidRDefault="009D1134" w:rsidP="009D113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Consolidated statement of comprehensive income</w:t>
      </w:r>
    </w:p>
    <w:tbl>
      <w:tblPr>
        <w:tblW w:w="5001" w:type="pct"/>
        <w:jc w:val="center"/>
        <w:tblCellMar>
          <w:left w:w="72" w:type="dxa"/>
          <w:right w:w="72" w:type="dxa"/>
        </w:tblCellMar>
        <w:tblLook w:val="0000" w:firstRow="0" w:lastRow="0" w:firstColumn="0" w:lastColumn="0" w:noHBand="0" w:noVBand="0"/>
      </w:tblPr>
      <w:tblGrid>
        <w:gridCol w:w="4386"/>
        <w:gridCol w:w="966"/>
        <w:gridCol w:w="1470"/>
        <w:gridCol w:w="1470"/>
        <w:gridCol w:w="1352"/>
      </w:tblGrid>
      <w:tr w:rsidR="009D36CE" w:rsidRPr="002F3885" w14:paraId="5048EDC2" w14:textId="77777777">
        <w:trPr>
          <w:cantSplit/>
          <w:trHeight w:val="964"/>
          <w:jc w:val="center"/>
        </w:trPr>
        <w:tc>
          <w:tcPr>
            <w:tcW w:w="2274" w:type="pct"/>
          </w:tcPr>
          <w:p w14:paraId="34E83048" w14:textId="77777777" w:rsidR="009D36CE" w:rsidRPr="002F3885" w:rsidRDefault="009D36CE"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501" w:type="pct"/>
            <w:vAlign w:val="bottom"/>
          </w:tcPr>
          <w:p w14:paraId="4A9112B9" w14:textId="77777777" w:rsidR="009D36CE" w:rsidRPr="002F3885" w:rsidRDefault="009D36CE"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Notes</w:t>
            </w:r>
          </w:p>
        </w:tc>
        <w:tc>
          <w:tcPr>
            <w:tcW w:w="762" w:type="pct"/>
          </w:tcPr>
          <w:p w14:paraId="3A881182" w14:textId="77777777" w:rsidR="009D36CE" w:rsidRDefault="009D36CE"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p>
          <w:p w14:paraId="11147AF3" w14:textId="77777777" w:rsidR="009D36CE" w:rsidRDefault="009D36CE"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p>
          <w:p w14:paraId="59BD8422" w14:textId="77777777" w:rsidR="009D36CE" w:rsidRDefault="009D36CE"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 xml:space="preserve">Six months ended </w:t>
            </w:r>
          </w:p>
          <w:p w14:paraId="5682ED9C" w14:textId="77777777" w:rsidR="009D36CE" w:rsidRDefault="009D36CE" w:rsidP="009D36C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30 June 201</w:t>
            </w:r>
            <w:r w:rsidR="00760ECA">
              <w:rPr>
                <w:b/>
                <w:bCs/>
                <w:sz w:val="16"/>
                <w:szCs w:val="18"/>
                <w:lang w:val="en-US"/>
              </w:rPr>
              <w:t>5</w:t>
            </w:r>
          </w:p>
          <w:p w14:paraId="77E24AAB" w14:textId="77777777" w:rsidR="009D36CE" w:rsidRDefault="009D36CE"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£000</w:t>
            </w:r>
          </w:p>
          <w:p w14:paraId="3F576986" w14:textId="77777777" w:rsidR="00833129" w:rsidRDefault="00833129"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 xml:space="preserve">Unaudited </w:t>
            </w:r>
          </w:p>
        </w:tc>
        <w:tc>
          <w:tcPr>
            <w:tcW w:w="762" w:type="pct"/>
            <w:vAlign w:val="bottom"/>
          </w:tcPr>
          <w:p w14:paraId="177806A2" w14:textId="77777777" w:rsidR="009D36CE" w:rsidRDefault="009D36CE" w:rsidP="009D36C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Six months ended</w:t>
            </w:r>
            <w:r>
              <w:rPr>
                <w:b/>
                <w:bCs/>
                <w:sz w:val="16"/>
                <w:szCs w:val="18"/>
                <w:lang w:val="en-US"/>
              </w:rPr>
              <w:br/>
              <w:t>30 June 201</w:t>
            </w:r>
            <w:r w:rsidR="00760EC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72A33D3B" w14:textId="77777777" w:rsidR="00833129" w:rsidRPr="002F3885" w:rsidRDefault="00833129" w:rsidP="0052500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 xml:space="preserve">Unaudited </w:t>
            </w:r>
          </w:p>
        </w:tc>
        <w:tc>
          <w:tcPr>
            <w:tcW w:w="701" w:type="pct"/>
            <w:vAlign w:val="bottom"/>
          </w:tcPr>
          <w:p w14:paraId="7B70EC1A" w14:textId="77777777" w:rsidR="009D36CE" w:rsidRDefault="009D36CE"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 ended</w:t>
            </w:r>
            <w:r>
              <w:rPr>
                <w:b/>
                <w:bCs/>
                <w:sz w:val="16"/>
                <w:szCs w:val="18"/>
                <w:lang w:val="en-US"/>
              </w:rPr>
              <w:br/>
              <w:t>31 December</w:t>
            </w:r>
            <w:r>
              <w:rPr>
                <w:b/>
                <w:bCs/>
                <w:sz w:val="16"/>
                <w:szCs w:val="18"/>
                <w:lang w:val="en-US"/>
              </w:rPr>
              <w:br/>
              <w:t>201</w:t>
            </w:r>
            <w:r w:rsidR="00760EC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361EA266" w14:textId="77777777" w:rsidR="00833129" w:rsidRPr="002F3885" w:rsidRDefault="00833129" w:rsidP="00094B3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Audited</w:t>
            </w:r>
          </w:p>
        </w:tc>
      </w:tr>
      <w:tr w:rsidR="009D36CE" w:rsidRPr="002F3885" w14:paraId="110A0B48" w14:textId="77777777">
        <w:trPr>
          <w:cantSplit/>
          <w:trHeight w:val="229"/>
          <w:jc w:val="center"/>
        </w:trPr>
        <w:tc>
          <w:tcPr>
            <w:tcW w:w="2274" w:type="pct"/>
          </w:tcPr>
          <w:p w14:paraId="18D608FD" w14:textId="77777777" w:rsidR="009D36CE" w:rsidRPr="002F3885" w:rsidRDefault="009D36CE" w:rsidP="003C137E">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lang w:val="en-US"/>
              </w:rPr>
            </w:pPr>
            <w:r w:rsidRPr="002F3885">
              <w:rPr>
                <w:b/>
                <w:bCs/>
                <w:lang w:val="en-US"/>
              </w:rPr>
              <w:t>Continuing Operations</w:t>
            </w:r>
          </w:p>
        </w:tc>
        <w:tc>
          <w:tcPr>
            <w:tcW w:w="501" w:type="pct"/>
            <w:vAlign w:val="bottom"/>
          </w:tcPr>
          <w:p w14:paraId="66239FC2" w14:textId="77777777" w:rsidR="009D36CE" w:rsidRPr="002F3885" w:rsidRDefault="009D36CE"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7FB4CB1C" w14:textId="77777777" w:rsidR="009D36CE" w:rsidRPr="002F3885" w:rsidRDefault="009D36CE"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62" w:type="pct"/>
            <w:vAlign w:val="bottom"/>
          </w:tcPr>
          <w:p w14:paraId="55E0F81E" w14:textId="77777777" w:rsidR="009D36CE" w:rsidRPr="002F3885" w:rsidRDefault="009D36CE"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1" w:type="pct"/>
            <w:vAlign w:val="bottom"/>
          </w:tcPr>
          <w:p w14:paraId="329B75FC" w14:textId="77777777" w:rsidR="009D36CE" w:rsidRPr="002F3885" w:rsidRDefault="009D36CE"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760ECA" w:rsidRPr="002F3885" w14:paraId="3CB16010" w14:textId="77777777" w:rsidTr="00B35DF0">
        <w:trPr>
          <w:cantSplit/>
          <w:trHeight w:val="506"/>
          <w:jc w:val="center"/>
        </w:trPr>
        <w:tc>
          <w:tcPr>
            <w:tcW w:w="2274" w:type="pct"/>
          </w:tcPr>
          <w:p w14:paraId="495F8E9D" w14:textId="77777777" w:rsidR="00760ECA" w:rsidRDefault="00760ECA" w:rsidP="005F7452">
            <w:pPr>
              <w:widowControl/>
              <w:tabs>
                <w:tab w:val="right" w:leader="dot" w:pos="3820"/>
              </w:tabs>
              <w:suppressAutoHyphens/>
              <w:spacing w:after="40"/>
              <w:ind w:left="1" w:hanging="1"/>
              <w:rPr>
                <w:lang w:val="en-US"/>
              </w:rPr>
            </w:pPr>
          </w:p>
          <w:p w14:paraId="71EF057C" w14:textId="77777777" w:rsidR="00760ECA" w:rsidRPr="002F3885" w:rsidRDefault="00760ECA" w:rsidP="005F7452">
            <w:pPr>
              <w:widowControl/>
              <w:tabs>
                <w:tab w:val="right" w:leader="dot" w:pos="3820"/>
              </w:tabs>
              <w:suppressAutoHyphens/>
              <w:spacing w:after="40"/>
              <w:ind w:left="1" w:hanging="1"/>
              <w:rPr>
                <w:lang w:val="en-US"/>
              </w:rPr>
            </w:pPr>
            <w:r>
              <w:rPr>
                <w:lang w:val="en-US"/>
              </w:rPr>
              <w:t xml:space="preserve">Gross </w:t>
            </w:r>
            <w:r w:rsidRPr="002F3885">
              <w:rPr>
                <w:lang w:val="en-US"/>
              </w:rPr>
              <w:t>income from gaming operations and services</w:t>
            </w:r>
          </w:p>
        </w:tc>
        <w:tc>
          <w:tcPr>
            <w:tcW w:w="501" w:type="pct"/>
            <w:vAlign w:val="bottom"/>
          </w:tcPr>
          <w:p w14:paraId="79B247D3"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lang w:val="en-US"/>
              </w:rPr>
            </w:pPr>
          </w:p>
        </w:tc>
        <w:tc>
          <w:tcPr>
            <w:tcW w:w="762" w:type="pct"/>
          </w:tcPr>
          <w:p w14:paraId="477A6B81" w14:textId="77777777" w:rsidR="00760ECA" w:rsidRDefault="00760ECA" w:rsidP="001F498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rPr>
                <w:lang w:val="en-US"/>
              </w:rPr>
            </w:pPr>
            <w:r>
              <w:rPr>
                <w:lang w:val="en-US"/>
              </w:rPr>
              <w:t xml:space="preserve">              </w:t>
            </w:r>
          </w:p>
          <w:p w14:paraId="3E7B0576" w14:textId="77777777" w:rsidR="00760ECA" w:rsidRDefault="00760ECA" w:rsidP="00E724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rPr>
                <w:lang w:val="en-US"/>
              </w:rPr>
            </w:pPr>
            <w:r>
              <w:rPr>
                <w:lang w:val="en-US"/>
              </w:rPr>
              <w:t xml:space="preserve">              </w:t>
            </w:r>
            <w:r w:rsidR="009E7D9B">
              <w:rPr>
                <w:lang w:val="en-US"/>
              </w:rPr>
              <w:t>13,</w:t>
            </w:r>
            <w:r w:rsidR="00E72478">
              <w:rPr>
                <w:lang w:val="en-US"/>
              </w:rPr>
              <w:t>383</w:t>
            </w:r>
          </w:p>
        </w:tc>
        <w:tc>
          <w:tcPr>
            <w:tcW w:w="762" w:type="pct"/>
          </w:tcPr>
          <w:p w14:paraId="108D524B" w14:textId="77777777" w:rsidR="00760ECA" w:rsidRDefault="00760ECA" w:rsidP="00B35D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rPr>
                <w:lang w:val="en-US"/>
              </w:rPr>
            </w:pPr>
            <w:r>
              <w:rPr>
                <w:lang w:val="en-US"/>
              </w:rPr>
              <w:t xml:space="preserve">              </w:t>
            </w:r>
          </w:p>
          <w:p w14:paraId="189AB33B" w14:textId="77777777" w:rsidR="00760ECA" w:rsidRDefault="00760ECA" w:rsidP="00B35D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rPr>
                <w:lang w:val="en-US"/>
              </w:rPr>
            </w:pPr>
            <w:r>
              <w:rPr>
                <w:lang w:val="en-US"/>
              </w:rPr>
              <w:t xml:space="preserve">              13,231</w:t>
            </w:r>
          </w:p>
        </w:tc>
        <w:tc>
          <w:tcPr>
            <w:tcW w:w="701" w:type="pct"/>
            <w:vAlign w:val="bottom"/>
          </w:tcPr>
          <w:p w14:paraId="01DAA9D1" w14:textId="77777777" w:rsidR="00760ECA" w:rsidRPr="002F3885" w:rsidRDefault="00F12063" w:rsidP="001F4982">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rPr>
                <w:lang w:val="en-US"/>
              </w:rPr>
            </w:pPr>
            <w:r>
              <w:rPr>
                <w:lang w:val="en-US"/>
              </w:rPr>
              <w:t xml:space="preserve">             26,123</w:t>
            </w:r>
          </w:p>
        </w:tc>
      </w:tr>
      <w:tr w:rsidR="00760ECA" w:rsidRPr="002F3885" w14:paraId="29AED792" w14:textId="77777777" w:rsidTr="00B35DF0">
        <w:trPr>
          <w:cantSplit/>
          <w:trHeight w:val="229"/>
          <w:jc w:val="center"/>
        </w:trPr>
        <w:tc>
          <w:tcPr>
            <w:tcW w:w="2274" w:type="pct"/>
          </w:tcPr>
          <w:p w14:paraId="7BBF14F0" w14:textId="77777777" w:rsidR="00760ECA" w:rsidRPr="002F3885" w:rsidRDefault="00760ECA" w:rsidP="009D1134">
            <w:pPr>
              <w:widowControl/>
              <w:tabs>
                <w:tab w:val="right" w:leader="dot" w:pos="3820"/>
              </w:tabs>
              <w:suppressAutoHyphens/>
              <w:ind w:left="200" w:hanging="200"/>
              <w:rPr>
                <w:lang w:val="en-US"/>
              </w:rPr>
            </w:pPr>
            <w:r w:rsidRPr="002F3885">
              <w:rPr>
                <w:b/>
                <w:bCs/>
                <w:lang w:val="en-US"/>
              </w:rPr>
              <w:t>Net revenues</w:t>
            </w:r>
            <w:r w:rsidRPr="002F3885">
              <w:rPr>
                <w:lang w:val="en-US"/>
              </w:rPr>
              <w:tab/>
            </w:r>
          </w:p>
        </w:tc>
        <w:tc>
          <w:tcPr>
            <w:tcW w:w="501" w:type="pct"/>
            <w:vAlign w:val="bottom"/>
          </w:tcPr>
          <w:p w14:paraId="6C9324D6"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3</w:t>
            </w:r>
          </w:p>
        </w:tc>
        <w:tc>
          <w:tcPr>
            <w:tcW w:w="762" w:type="pct"/>
          </w:tcPr>
          <w:p w14:paraId="63F90413" w14:textId="77777777" w:rsidR="00760ECA" w:rsidRDefault="009E7D9B" w:rsidP="00E724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2,</w:t>
            </w:r>
            <w:r w:rsidR="00E72478">
              <w:rPr>
                <w:b/>
                <w:bCs/>
                <w:lang w:val="en-US"/>
              </w:rPr>
              <w:t>892</w:t>
            </w:r>
          </w:p>
        </w:tc>
        <w:tc>
          <w:tcPr>
            <w:tcW w:w="762" w:type="pct"/>
          </w:tcPr>
          <w:p w14:paraId="631E411D"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4,166</w:t>
            </w:r>
          </w:p>
        </w:tc>
        <w:tc>
          <w:tcPr>
            <w:tcW w:w="701" w:type="pct"/>
            <w:vAlign w:val="bottom"/>
          </w:tcPr>
          <w:p w14:paraId="1AB4EB2D"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7,528</w:t>
            </w:r>
          </w:p>
        </w:tc>
      </w:tr>
      <w:tr w:rsidR="00760ECA" w:rsidRPr="002F3885" w14:paraId="2E7B6AC1" w14:textId="77777777" w:rsidTr="00B35DF0">
        <w:trPr>
          <w:cantSplit/>
          <w:trHeight w:val="229"/>
          <w:jc w:val="center"/>
        </w:trPr>
        <w:tc>
          <w:tcPr>
            <w:tcW w:w="2274" w:type="pct"/>
          </w:tcPr>
          <w:p w14:paraId="3390B4B0" w14:textId="77777777" w:rsidR="00760ECA" w:rsidRPr="002F3885" w:rsidRDefault="00760ECA" w:rsidP="009D1134">
            <w:pPr>
              <w:widowControl/>
              <w:tabs>
                <w:tab w:val="right" w:leader="dot" w:pos="3820"/>
              </w:tabs>
              <w:suppressAutoHyphens/>
              <w:ind w:left="200" w:hanging="200"/>
              <w:rPr>
                <w:lang w:val="en-US"/>
              </w:rPr>
            </w:pPr>
            <w:r w:rsidRPr="002F3885">
              <w:rPr>
                <w:lang w:val="en-US"/>
              </w:rPr>
              <w:t>Distribution costs</w:t>
            </w:r>
            <w:r w:rsidRPr="002F3885">
              <w:rPr>
                <w:lang w:val="en-US"/>
              </w:rPr>
              <w:tab/>
            </w:r>
          </w:p>
        </w:tc>
        <w:tc>
          <w:tcPr>
            <w:tcW w:w="501" w:type="pct"/>
            <w:vAlign w:val="bottom"/>
          </w:tcPr>
          <w:p w14:paraId="517083B3"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647959F8" w14:textId="77777777" w:rsidR="00760ECA" w:rsidRDefault="009E7D9B" w:rsidP="00E724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E72478">
              <w:rPr>
                <w:lang w:val="en-US"/>
              </w:rPr>
              <w:t>363</w:t>
            </w:r>
            <w:r>
              <w:rPr>
                <w:lang w:val="en-US"/>
              </w:rPr>
              <w:t>)</w:t>
            </w:r>
          </w:p>
        </w:tc>
        <w:tc>
          <w:tcPr>
            <w:tcW w:w="762" w:type="pct"/>
          </w:tcPr>
          <w:p w14:paraId="1E7D672C"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(1,623)</w:t>
            </w:r>
          </w:p>
        </w:tc>
        <w:tc>
          <w:tcPr>
            <w:tcW w:w="701" w:type="pct"/>
            <w:vAlign w:val="bottom"/>
          </w:tcPr>
          <w:p w14:paraId="4BEBC1EC"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(3,728)</w:t>
            </w:r>
          </w:p>
        </w:tc>
      </w:tr>
      <w:tr w:rsidR="00760ECA" w:rsidRPr="002F3885" w14:paraId="4EF2FF66" w14:textId="77777777" w:rsidTr="00B35DF0">
        <w:trPr>
          <w:cantSplit/>
          <w:trHeight w:val="259"/>
          <w:jc w:val="center"/>
        </w:trPr>
        <w:tc>
          <w:tcPr>
            <w:tcW w:w="2274" w:type="pct"/>
          </w:tcPr>
          <w:p w14:paraId="4FBB36CB" w14:textId="77777777" w:rsidR="00760ECA" w:rsidRPr="002F3885" w:rsidRDefault="00760ECA" w:rsidP="009D1134">
            <w:pPr>
              <w:widowControl/>
              <w:tabs>
                <w:tab w:val="right" w:leader="dot" w:pos="3820"/>
              </w:tabs>
              <w:suppressAutoHyphens/>
              <w:spacing w:after="20"/>
              <w:ind w:left="200" w:hanging="200"/>
              <w:rPr>
                <w:lang w:val="en-US"/>
              </w:rPr>
            </w:pPr>
            <w:r w:rsidRPr="002F3885">
              <w:rPr>
                <w:lang w:val="en-US"/>
              </w:rPr>
              <w:t>Administrative expenses</w:t>
            </w:r>
            <w:r w:rsidRPr="002F3885">
              <w:rPr>
                <w:lang w:val="en-US"/>
              </w:rPr>
              <w:tab/>
            </w:r>
          </w:p>
        </w:tc>
        <w:tc>
          <w:tcPr>
            <w:tcW w:w="501" w:type="pct"/>
            <w:vAlign w:val="bottom"/>
          </w:tcPr>
          <w:p w14:paraId="5C31EAED"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62" w:type="pct"/>
          </w:tcPr>
          <w:p w14:paraId="020E767F" w14:textId="77777777" w:rsidR="00760ECA" w:rsidRPr="002B3BA0" w:rsidRDefault="009E7D9B" w:rsidP="00F033B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r w:rsidR="00F033B6">
              <w:rPr>
                <w:lang w:val="en-US"/>
              </w:rPr>
              <w:t>3,110</w:t>
            </w:r>
            <w:r>
              <w:rPr>
                <w:lang w:val="en-US"/>
              </w:rPr>
              <w:t>)</w:t>
            </w:r>
          </w:p>
        </w:tc>
        <w:tc>
          <w:tcPr>
            <w:tcW w:w="762" w:type="pct"/>
          </w:tcPr>
          <w:p w14:paraId="7FE484EE" w14:textId="77777777" w:rsidR="00760ECA" w:rsidRPr="002B3BA0" w:rsidRDefault="00760ECA" w:rsidP="00B35D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sidRPr="002B3BA0">
              <w:rPr>
                <w:lang w:val="en-US"/>
              </w:rPr>
              <w:t>(3,493)</w:t>
            </w:r>
          </w:p>
        </w:tc>
        <w:tc>
          <w:tcPr>
            <w:tcW w:w="701" w:type="pct"/>
            <w:vAlign w:val="bottom"/>
          </w:tcPr>
          <w:p w14:paraId="7CCC9166" w14:textId="77777777" w:rsidR="00760ECA" w:rsidRPr="002F3885" w:rsidRDefault="00F12063"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(6,469)</w:t>
            </w:r>
          </w:p>
        </w:tc>
      </w:tr>
      <w:tr w:rsidR="00760ECA" w:rsidRPr="002F3885" w14:paraId="42368A71" w14:textId="77777777" w:rsidTr="00B35DF0">
        <w:trPr>
          <w:cantSplit/>
          <w:trHeight w:val="259"/>
          <w:jc w:val="center"/>
        </w:trPr>
        <w:tc>
          <w:tcPr>
            <w:tcW w:w="2274" w:type="pct"/>
            <w:tcBorders>
              <w:bottom w:val="single" w:sz="4" w:space="0" w:color="auto"/>
            </w:tcBorders>
          </w:tcPr>
          <w:p w14:paraId="5B3CC3F2" w14:textId="77777777" w:rsidR="00760ECA" w:rsidRPr="002F3885" w:rsidRDefault="00760ECA" w:rsidP="009D1134">
            <w:pPr>
              <w:widowControl/>
              <w:tabs>
                <w:tab w:val="right" w:leader="dot" w:pos="3820"/>
              </w:tabs>
              <w:suppressAutoHyphens/>
              <w:spacing w:after="20"/>
              <w:ind w:left="200" w:hanging="200"/>
              <w:rPr>
                <w:lang w:val="en-US"/>
              </w:rPr>
            </w:pPr>
            <w:r w:rsidRPr="002F3885">
              <w:rPr>
                <w:lang w:val="en-US"/>
              </w:rPr>
              <w:t>Total operating costs</w:t>
            </w:r>
            <w:r w:rsidRPr="002F3885">
              <w:rPr>
                <w:lang w:val="en-US"/>
              </w:rPr>
              <w:tab/>
            </w:r>
          </w:p>
        </w:tc>
        <w:tc>
          <w:tcPr>
            <w:tcW w:w="501" w:type="pct"/>
            <w:tcBorders>
              <w:bottom w:val="single" w:sz="4" w:space="0" w:color="auto"/>
            </w:tcBorders>
            <w:vAlign w:val="bottom"/>
          </w:tcPr>
          <w:p w14:paraId="4535F73A"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62" w:type="pct"/>
            <w:tcBorders>
              <w:bottom w:val="single" w:sz="4" w:space="0" w:color="auto"/>
            </w:tcBorders>
          </w:tcPr>
          <w:p w14:paraId="425A3D84" w14:textId="77777777" w:rsidR="00760ECA" w:rsidRPr="002B3BA0" w:rsidRDefault="001C24AB" w:rsidP="00F033B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w:t>
            </w:r>
            <w:r w:rsidR="00F033B6">
              <w:rPr>
                <w:lang w:val="en-US"/>
              </w:rPr>
              <w:t>473</w:t>
            </w:r>
            <w:r w:rsidR="009E7D9B">
              <w:rPr>
                <w:lang w:val="en-US"/>
              </w:rPr>
              <w:t>)</w:t>
            </w:r>
          </w:p>
        </w:tc>
        <w:tc>
          <w:tcPr>
            <w:tcW w:w="762" w:type="pct"/>
            <w:tcBorders>
              <w:bottom w:val="single" w:sz="4" w:space="0" w:color="auto"/>
            </w:tcBorders>
          </w:tcPr>
          <w:p w14:paraId="1AF6DBCE" w14:textId="77777777" w:rsidR="00760ECA" w:rsidRPr="002B3BA0" w:rsidRDefault="00760ECA" w:rsidP="00B35D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sidRPr="002B3BA0">
              <w:rPr>
                <w:lang w:val="en-US"/>
              </w:rPr>
              <w:t>(5,</w:t>
            </w:r>
            <w:r>
              <w:rPr>
                <w:lang w:val="en-US"/>
              </w:rPr>
              <w:t>116</w:t>
            </w:r>
            <w:r w:rsidRPr="002B3BA0">
              <w:rPr>
                <w:lang w:val="en-US"/>
              </w:rPr>
              <w:t>)</w:t>
            </w:r>
          </w:p>
        </w:tc>
        <w:tc>
          <w:tcPr>
            <w:tcW w:w="701" w:type="pct"/>
            <w:tcBorders>
              <w:bottom w:val="single" w:sz="4" w:space="0" w:color="auto"/>
            </w:tcBorders>
            <w:vAlign w:val="bottom"/>
          </w:tcPr>
          <w:p w14:paraId="0B5B2211" w14:textId="77777777" w:rsidR="00760ECA" w:rsidRPr="002F3885" w:rsidRDefault="00F12063"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(10,197)</w:t>
            </w:r>
          </w:p>
        </w:tc>
      </w:tr>
      <w:tr w:rsidR="00760ECA" w:rsidRPr="002F3885" w14:paraId="4E4E5A33" w14:textId="77777777" w:rsidTr="00B35DF0">
        <w:trPr>
          <w:cantSplit/>
          <w:trHeight w:val="229"/>
          <w:jc w:val="center"/>
        </w:trPr>
        <w:tc>
          <w:tcPr>
            <w:tcW w:w="2274" w:type="pct"/>
            <w:tcBorders>
              <w:top w:val="single" w:sz="4" w:space="0" w:color="auto"/>
              <w:left w:val="single" w:sz="4" w:space="0" w:color="auto"/>
            </w:tcBorders>
          </w:tcPr>
          <w:p w14:paraId="4169E798" w14:textId="77777777" w:rsidR="00760ECA" w:rsidRPr="002F3885" w:rsidRDefault="00760ECA" w:rsidP="009D1134">
            <w:pPr>
              <w:widowControl/>
              <w:tabs>
                <w:tab w:val="right" w:leader="dot" w:pos="3820"/>
              </w:tabs>
              <w:suppressAutoHyphens/>
              <w:ind w:left="200" w:hanging="200"/>
              <w:rPr>
                <w:lang w:val="en-US"/>
              </w:rPr>
            </w:pPr>
            <w:r w:rsidRPr="002F3885">
              <w:rPr>
                <w:lang w:val="en-US"/>
              </w:rPr>
              <w:t>Clean EBITDA</w:t>
            </w:r>
            <w:r w:rsidRPr="002F3885">
              <w:rPr>
                <w:lang w:val="en-US"/>
              </w:rPr>
              <w:tab/>
            </w:r>
          </w:p>
        </w:tc>
        <w:tc>
          <w:tcPr>
            <w:tcW w:w="501" w:type="pct"/>
            <w:tcBorders>
              <w:top w:val="single" w:sz="4" w:space="0" w:color="auto"/>
            </w:tcBorders>
            <w:vAlign w:val="bottom"/>
          </w:tcPr>
          <w:p w14:paraId="16E68431"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Borders>
              <w:top w:val="single" w:sz="4" w:space="0" w:color="auto"/>
            </w:tcBorders>
          </w:tcPr>
          <w:p w14:paraId="246A1AB4" w14:textId="77777777" w:rsidR="00760ECA" w:rsidRDefault="009E7D9B"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w:t>
            </w:r>
            <w:r w:rsidR="00F033B6">
              <w:rPr>
                <w:lang w:val="en-US"/>
              </w:rPr>
              <w:t>476</w:t>
            </w:r>
            <w:r>
              <w:rPr>
                <w:lang w:val="en-US"/>
              </w:rPr>
              <w:t>)</w:t>
            </w:r>
          </w:p>
        </w:tc>
        <w:tc>
          <w:tcPr>
            <w:tcW w:w="762" w:type="pct"/>
            <w:tcBorders>
              <w:top w:val="single" w:sz="4" w:space="0" w:color="auto"/>
            </w:tcBorders>
          </w:tcPr>
          <w:p w14:paraId="158F2922" w14:textId="77777777" w:rsidR="00760ECA" w:rsidRDefault="00760ECA"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r w:rsidR="00F033B6">
              <w:rPr>
                <w:lang w:val="en-US"/>
              </w:rPr>
              <w:t>444</w:t>
            </w:r>
            <w:r>
              <w:rPr>
                <w:lang w:val="en-US"/>
              </w:rPr>
              <w:t>)</w:t>
            </w:r>
          </w:p>
        </w:tc>
        <w:tc>
          <w:tcPr>
            <w:tcW w:w="701" w:type="pct"/>
            <w:tcBorders>
              <w:top w:val="single" w:sz="4" w:space="0" w:color="auto"/>
            </w:tcBorders>
            <w:vAlign w:val="bottom"/>
          </w:tcPr>
          <w:p w14:paraId="3029CA9B" w14:textId="77777777" w:rsidR="00760ECA" w:rsidRPr="002F3885" w:rsidRDefault="00F12063"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w:t>
            </w:r>
            <w:r w:rsidR="00F033B6">
              <w:rPr>
                <w:lang w:val="en-US"/>
              </w:rPr>
              <w:t>425</w:t>
            </w:r>
            <w:r>
              <w:rPr>
                <w:lang w:val="en-US"/>
              </w:rPr>
              <w:t>)</w:t>
            </w:r>
          </w:p>
        </w:tc>
      </w:tr>
      <w:tr w:rsidR="00760ECA" w:rsidRPr="002F3885" w14:paraId="5443E23C" w14:textId="77777777" w:rsidTr="00B35DF0">
        <w:trPr>
          <w:cantSplit/>
          <w:trHeight w:val="229"/>
          <w:jc w:val="center"/>
        </w:trPr>
        <w:tc>
          <w:tcPr>
            <w:tcW w:w="2274" w:type="pct"/>
            <w:tcBorders>
              <w:left w:val="single" w:sz="4" w:space="0" w:color="auto"/>
            </w:tcBorders>
          </w:tcPr>
          <w:p w14:paraId="2EE731B7" w14:textId="77777777" w:rsidR="00760ECA" w:rsidRPr="002F3885" w:rsidRDefault="00760ECA" w:rsidP="009D1134">
            <w:pPr>
              <w:widowControl/>
              <w:tabs>
                <w:tab w:val="right" w:leader="dot" w:pos="3820"/>
              </w:tabs>
              <w:suppressAutoHyphens/>
              <w:ind w:left="200" w:hanging="200"/>
              <w:rPr>
                <w:lang w:val="en-US"/>
              </w:rPr>
            </w:pPr>
            <w:r w:rsidRPr="002F3885">
              <w:rPr>
                <w:lang w:val="en-US"/>
              </w:rPr>
              <w:t>Depreciation</w:t>
            </w:r>
            <w:r w:rsidRPr="002F3885">
              <w:rPr>
                <w:lang w:val="en-US"/>
              </w:rPr>
              <w:tab/>
            </w:r>
          </w:p>
        </w:tc>
        <w:tc>
          <w:tcPr>
            <w:tcW w:w="501" w:type="pct"/>
            <w:vAlign w:val="bottom"/>
          </w:tcPr>
          <w:p w14:paraId="766B157D"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05245EB7" w14:textId="77777777" w:rsidR="00760ECA" w:rsidRDefault="009E7D9B"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(211)</w:t>
            </w:r>
          </w:p>
        </w:tc>
        <w:tc>
          <w:tcPr>
            <w:tcW w:w="762" w:type="pct"/>
          </w:tcPr>
          <w:p w14:paraId="5F524129"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(171)</w:t>
            </w:r>
          </w:p>
        </w:tc>
        <w:tc>
          <w:tcPr>
            <w:tcW w:w="701" w:type="pct"/>
            <w:vAlign w:val="bottom"/>
          </w:tcPr>
          <w:p w14:paraId="719AA1F3"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(360)</w:t>
            </w:r>
          </w:p>
        </w:tc>
      </w:tr>
      <w:tr w:rsidR="00760ECA" w:rsidRPr="002F3885" w14:paraId="7A294B59" w14:textId="77777777" w:rsidTr="00B35DF0">
        <w:trPr>
          <w:cantSplit/>
          <w:trHeight w:val="229"/>
          <w:jc w:val="center"/>
        </w:trPr>
        <w:tc>
          <w:tcPr>
            <w:tcW w:w="2274" w:type="pct"/>
            <w:tcBorders>
              <w:left w:val="single" w:sz="4" w:space="0" w:color="auto"/>
            </w:tcBorders>
          </w:tcPr>
          <w:p w14:paraId="4B4AF47C" w14:textId="77777777" w:rsidR="00760ECA" w:rsidRPr="002F3885" w:rsidRDefault="00760ECA" w:rsidP="009D1134">
            <w:pPr>
              <w:widowControl/>
              <w:tabs>
                <w:tab w:val="right" w:leader="dot" w:pos="3820"/>
              </w:tabs>
              <w:suppressAutoHyphens/>
              <w:ind w:left="200" w:hanging="200"/>
              <w:rPr>
                <w:lang w:val="en-US"/>
              </w:rPr>
            </w:pPr>
            <w:r w:rsidRPr="002F3885">
              <w:rPr>
                <w:lang w:val="en-US"/>
              </w:rPr>
              <w:t>Amortisation of intangible assets</w:t>
            </w:r>
            <w:r w:rsidRPr="002F3885">
              <w:rPr>
                <w:lang w:val="en-US"/>
              </w:rPr>
              <w:tab/>
            </w:r>
          </w:p>
        </w:tc>
        <w:tc>
          <w:tcPr>
            <w:tcW w:w="501" w:type="pct"/>
            <w:vAlign w:val="bottom"/>
          </w:tcPr>
          <w:p w14:paraId="159206FA"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1E2254B4" w14:textId="77777777" w:rsidR="00760ECA" w:rsidRDefault="009E7D9B"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(701)</w:t>
            </w:r>
          </w:p>
        </w:tc>
        <w:tc>
          <w:tcPr>
            <w:tcW w:w="762" w:type="pct"/>
          </w:tcPr>
          <w:p w14:paraId="2618337E"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(271)</w:t>
            </w:r>
          </w:p>
        </w:tc>
        <w:tc>
          <w:tcPr>
            <w:tcW w:w="701" w:type="pct"/>
            <w:vAlign w:val="bottom"/>
          </w:tcPr>
          <w:p w14:paraId="097C21CC"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(777)</w:t>
            </w:r>
          </w:p>
        </w:tc>
      </w:tr>
      <w:tr w:rsidR="00760ECA" w:rsidRPr="002F3885" w14:paraId="06FF1257" w14:textId="77777777" w:rsidTr="00B35DF0">
        <w:trPr>
          <w:cantSplit/>
          <w:trHeight w:val="229"/>
          <w:jc w:val="center"/>
        </w:trPr>
        <w:tc>
          <w:tcPr>
            <w:tcW w:w="2274" w:type="pct"/>
            <w:tcBorders>
              <w:left w:val="single" w:sz="4" w:space="0" w:color="auto"/>
            </w:tcBorders>
          </w:tcPr>
          <w:p w14:paraId="1D3C9709" w14:textId="77777777" w:rsidR="00760ECA" w:rsidRPr="002F3885" w:rsidRDefault="00760ECA" w:rsidP="00D27DB9">
            <w:pPr>
              <w:widowControl/>
              <w:tabs>
                <w:tab w:val="right" w:leader="dot" w:pos="3820"/>
              </w:tabs>
              <w:suppressAutoHyphens/>
              <w:ind w:left="200" w:hanging="200"/>
              <w:rPr>
                <w:lang w:val="en-US"/>
              </w:rPr>
            </w:pPr>
            <w:r>
              <w:rPr>
                <w:lang w:val="en-US"/>
              </w:rPr>
              <w:t>Exceptional costs</w:t>
            </w:r>
            <w:r w:rsidRPr="002F3885">
              <w:rPr>
                <w:lang w:val="en-US"/>
              </w:rPr>
              <w:tab/>
            </w:r>
          </w:p>
        </w:tc>
        <w:tc>
          <w:tcPr>
            <w:tcW w:w="501" w:type="pct"/>
            <w:vAlign w:val="bottom"/>
          </w:tcPr>
          <w:p w14:paraId="387AF7EE" w14:textId="77777777" w:rsidR="00760ECA" w:rsidRPr="002F3885" w:rsidRDefault="00760ECA" w:rsidP="00D27D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5</w:t>
            </w:r>
          </w:p>
        </w:tc>
        <w:tc>
          <w:tcPr>
            <w:tcW w:w="762" w:type="pct"/>
          </w:tcPr>
          <w:p w14:paraId="6086401F" w14:textId="77777777" w:rsidR="00760ECA" w:rsidRDefault="00284266" w:rsidP="007912B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(175)</w:t>
            </w:r>
          </w:p>
        </w:tc>
        <w:tc>
          <w:tcPr>
            <w:tcW w:w="762" w:type="pct"/>
          </w:tcPr>
          <w:p w14:paraId="1956DD39"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(29)</w:t>
            </w:r>
          </w:p>
        </w:tc>
        <w:tc>
          <w:tcPr>
            <w:tcW w:w="701" w:type="pct"/>
            <w:vAlign w:val="bottom"/>
          </w:tcPr>
          <w:p w14:paraId="3471A621" w14:textId="77777777" w:rsidR="00760ECA" w:rsidRPr="002F3885" w:rsidRDefault="00F12063" w:rsidP="00D27DB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(67)</w:t>
            </w:r>
          </w:p>
        </w:tc>
      </w:tr>
      <w:tr w:rsidR="00760ECA" w:rsidRPr="002F3885" w14:paraId="137924D5" w14:textId="77777777" w:rsidTr="00B35DF0">
        <w:trPr>
          <w:cantSplit/>
          <w:trHeight w:val="229"/>
          <w:jc w:val="center"/>
        </w:trPr>
        <w:tc>
          <w:tcPr>
            <w:tcW w:w="2274" w:type="pct"/>
            <w:tcBorders>
              <w:left w:val="single" w:sz="4" w:space="0" w:color="auto"/>
              <w:bottom w:val="single" w:sz="4" w:space="0" w:color="auto"/>
            </w:tcBorders>
          </w:tcPr>
          <w:p w14:paraId="026F38A0" w14:textId="77777777" w:rsidR="00760ECA" w:rsidRPr="002F3885" w:rsidRDefault="00760ECA" w:rsidP="009D1134">
            <w:pPr>
              <w:widowControl/>
              <w:tabs>
                <w:tab w:val="right" w:leader="dot" w:pos="3820"/>
              </w:tabs>
              <w:suppressAutoHyphens/>
              <w:ind w:left="200" w:hanging="200"/>
              <w:rPr>
                <w:lang w:val="en-US"/>
              </w:rPr>
            </w:pPr>
            <w:r w:rsidRPr="002F3885">
              <w:rPr>
                <w:lang w:val="en-US"/>
              </w:rPr>
              <w:t>Employee share</w:t>
            </w:r>
            <w:r w:rsidRPr="002F3885">
              <w:rPr>
                <w:lang w:val="en-US"/>
              </w:rPr>
              <w:noBreakHyphen/>
              <w:t>based payment charge</w:t>
            </w:r>
            <w:r w:rsidRPr="002F3885">
              <w:rPr>
                <w:lang w:val="en-US"/>
              </w:rPr>
              <w:tab/>
            </w:r>
          </w:p>
        </w:tc>
        <w:tc>
          <w:tcPr>
            <w:tcW w:w="501" w:type="pct"/>
            <w:tcBorders>
              <w:bottom w:val="single" w:sz="4" w:space="0" w:color="auto"/>
            </w:tcBorders>
            <w:vAlign w:val="bottom"/>
          </w:tcPr>
          <w:p w14:paraId="7FDBFB42"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Borders>
              <w:bottom w:val="single" w:sz="4" w:space="0" w:color="auto"/>
            </w:tcBorders>
          </w:tcPr>
          <w:p w14:paraId="35430878" w14:textId="77777777" w:rsidR="00760ECA" w:rsidRDefault="00284266"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(18)</w:t>
            </w:r>
          </w:p>
        </w:tc>
        <w:tc>
          <w:tcPr>
            <w:tcW w:w="762" w:type="pct"/>
            <w:tcBorders>
              <w:bottom w:val="single" w:sz="4" w:space="0" w:color="auto"/>
            </w:tcBorders>
          </w:tcPr>
          <w:p w14:paraId="67A8A6F4"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(35)</w:t>
            </w:r>
          </w:p>
        </w:tc>
        <w:tc>
          <w:tcPr>
            <w:tcW w:w="701" w:type="pct"/>
            <w:tcBorders>
              <w:bottom w:val="single" w:sz="4" w:space="0" w:color="auto"/>
            </w:tcBorders>
            <w:vAlign w:val="bottom"/>
          </w:tcPr>
          <w:p w14:paraId="4C19C3CB"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(40)</w:t>
            </w:r>
          </w:p>
        </w:tc>
      </w:tr>
      <w:tr w:rsidR="00760ECA" w:rsidRPr="002F3885" w14:paraId="3EB943E2" w14:textId="77777777" w:rsidTr="00B35DF0">
        <w:trPr>
          <w:cantSplit/>
          <w:trHeight w:val="229"/>
          <w:jc w:val="center"/>
        </w:trPr>
        <w:tc>
          <w:tcPr>
            <w:tcW w:w="2274" w:type="pct"/>
            <w:tcBorders>
              <w:top w:val="single" w:sz="4" w:space="0" w:color="auto"/>
            </w:tcBorders>
          </w:tcPr>
          <w:p w14:paraId="2986A9F1" w14:textId="77777777" w:rsidR="00760ECA" w:rsidRPr="002F3885" w:rsidRDefault="00760ECA" w:rsidP="00A07AC6">
            <w:pPr>
              <w:widowControl/>
              <w:tabs>
                <w:tab w:val="right" w:leader="dot" w:pos="3820"/>
              </w:tabs>
              <w:suppressAutoHyphens/>
              <w:ind w:left="200" w:hanging="200"/>
              <w:rPr>
                <w:lang w:val="en-US"/>
              </w:rPr>
            </w:pPr>
            <w:r w:rsidRPr="002F3885">
              <w:rPr>
                <w:b/>
                <w:bCs/>
                <w:lang w:val="en-US"/>
              </w:rPr>
              <w:t xml:space="preserve">Operating </w:t>
            </w:r>
            <w:r>
              <w:rPr>
                <w:b/>
                <w:bCs/>
                <w:lang w:val="en-US"/>
              </w:rPr>
              <w:t>(loss)</w:t>
            </w:r>
            <w:r w:rsidRPr="002F3885">
              <w:rPr>
                <w:lang w:val="en-US"/>
              </w:rPr>
              <w:tab/>
            </w:r>
          </w:p>
        </w:tc>
        <w:tc>
          <w:tcPr>
            <w:tcW w:w="501" w:type="pct"/>
            <w:tcBorders>
              <w:top w:val="single" w:sz="4" w:space="0" w:color="auto"/>
            </w:tcBorders>
            <w:vAlign w:val="bottom"/>
          </w:tcPr>
          <w:p w14:paraId="2E323C9F"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Borders>
              <w:top w:val="single" w:sz="4" w:space="0" w:color="auto"/>
            </w:tcBorders>
          </w:tcPr>
          <w:p w14:paraId="584C70D5" w14:textId="77777777" w:rsidR="00760ECA" w:rsidRDefault="00284266"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F033B6">
              <w:rPr>
                <w:lang w:val="en-US"/>
              </w:rPr>
              <w:t>581</w:t>
            </w:r>
            <w:r>
              <w:rPr>
                <w:lang w:val="en-US"/>
              </w:rPr>
              <w:t>)</w:t>
            </w:r>
          </w:p>
        </w:tc>
        <w:tc>
          <w:tcPr>
            <w:tcW w:w="762" w:type="pct"/>
            <w:tcBorders>
              <w:top w:val="single" w:sz="4" w:space="0" w:color="auto"/>
            </w:tcBorders>
          </w:tcPr>
          <w:p w14:paraId="079189C1"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(950)</w:t>
            </w:r>
          </w:p>
        </w:tc>
        <w:tc>
          <w:tcPr>
            <w:tcW w:w="701" w:type="pct"/>
            <w:tcBorders>
              <w:top w:val="single" w:sz="4" w:space="0" w:color="auto"/>
            </w:tcBorders>
            <w:vAlign w:val="bottom"/>
          </w:tcPr>
          <w:p w14:paraId="755E5394"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(2,669)</w:t>
            </w:r>
          </w:p>
        </w:tc>
      </w:tr>
      <w:tr w:rsidR="00760ECA" w:rsidRPr="002F3885" w14:paraId="3DFF6982" w14:textId="77777777" w:rsidTr="00B35DF0">
        <w:trPr>
          <w:cantSplit/>
          <w:trHeight w:val="259"/>
          <w:jc w:val="center"/>
        </w:trPr>
        <w:tc>
          <w:tcPr>
            <w:tcW w:w="2274" w:type="pct"/>
          </w:tcPr>
          <w:p w14:paraId="646E1D53" w14:textId="77777777" w:rsidR="00760ECA" w:rsidRPr="002F3885" w:rsidRDefault="00760ECA" w:rsidP="009D1134">
            <w:pPr>
              <w:widowControl/>
              <w:tabs>
                <w:tab w:val="right" w:leader="dot" w:pos="3820"/>
              </w:tabs>
              <w:suppressAutoHyphens/>
              <w:spacing w:after="20"/>
              <w:ind w:left="200" w:hanging="200"/>
              <w:rPr>
                <w:lang w:val="en-US"/>
              </w:rPr>
            </w:pPr>
            <w:r>
              <w:rPr>
                <w:lang w:val="en-US"/>
              </w:rPr>
              <w:t>Finance income</w:t>
            </w:r>
            <w:r w:rsidRPr="002F3885">
              <w:rPr>
                <w:lang w:val="en-US"/>
              </w:rPr>
              <w:tab/>
            </w:r>
          </w:p>
        </w:tc>
        <w:tc>
          <w:tcPr>
            <w:tcW w:w="501" w:type="pct"/>
            <w:vAlign w:val="bottom"/>
          </w:tcPr>
          <w:p w14:paraId="6F67EC64"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62" w:type="pct"/>
          </w:tcPr>
          <w:p w14:paraId="00E4A01C" w14:textId="77777777" w:rsidR="00760ECA" w:rsidRDefault="00284266"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19</w:t>
            </w:r>
          </w:p>
        </w:tc>
        <w:tc>
          <w:tcPr>
            <w:tcW w:w="762" w:type="pct"/>
          </w:tcPr>
          <w:p w14:paraId="5DDEF550" w14:textId="77777777" w:rsidR="00760ECA" w:rsidRDefault="00760ECA" w:rsidP="00B35D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42</w:t>
            </w:r>
          </w:p>
        </w:tc>
        <w:tc>
          <w:tcPr>
            <w:tcW w:w="701" w:type="pct"/>
            <w:vAlign w:val="bottom"/>
          </w:tcPr>
          <w:p w14:paraId="4D75DF2C" w14:textId="77777777" w:rsidR="00760ECA" w:rsidRPr="002F3885" w:rsidRDefault="00F12063"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67</w:t>
            </w:r>
          </w:p>
        </w:tc>
      </w:tr>
      <w:tr w:rsidR="00760ECA" w:rsidRPr="002F3885" w14:paraId="05128988" w14:textId="77777777" w:rsidTr="00B35DF0">
        <w:trPr>
          <w:cantSplit/>
          <w:trHeight w:val="229"/>
          <w:jc w:val="center"/>
        </w:trPr>
        <w:tc>
          <w:tcPr>
            <w:tcW w:w="2274" w:type="pct"/>
          </w:tcPr>
          <w:p w14:paraId="0A7F87DB" w14:textId="77777777" w:rsidR="00760ECA" w:rsidRPr="002F3885" w:rsidRDefault="00760ECA" w:rsidP="00A07AC6">
            <w:pPr>
              <w:widowControl/>
              <w:tabs>
                <w:tab w:val="right" w:leader="dot" w:pos="3820"/>
              </w:tabs>
              <w:suppressAutoHyphens/>
              <w:ind w:left="200" w:hanging="200"/>
              <w:rPr>
                <w:lang w:val="en-US"/>
              </w:rPr>
            </w:pPr>
            <w:r>
              <w:rPr>
                <w:b/>
                <w:bCs/>
                <w:lang w:val="en-US"/>
              </w:rPr>
              <w:t>(Loss)</w:t>
            </w:r>
            <w:r w:rsidRPr="002F3885">
              <w:rPr>
                <w:b/>
                <w:bCs/>
                <w:lang w:val="en-US"/>
              </w:rPr>
              <w:t xml:space="preserve"> before taxation</w:t>
            </w:r>
            <w:r w:rsidRPr="002F3885">
              <w:rPr>
                <w:lang w:val="en-US"/>
              </w:rPr>
              <w:tab/>
            </w:r>
          </w:p>
        </w:tc>
        <w:tc>
          <w:tcPr>
            <w:tcW w:w="501" w:type="pct"/>
            <w:vAlign w:val="bottom"/>
          </w:tcPr>
          <w:p w14:paraId="598B980D"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5B550D1A" w14:textId="77777777" w:rsidR="00760ECA" w:rsidRDefault="00284266"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F033B6">
              <w:rPr>
                <w:lang w:val="en-US"/>
              </w:rPr>
              <w:t>562</w:t>
            </w:r>
            <w:r>
              <w:rPr>
                <w:lang w:val="en-US"/>
              </w:rPr>
              <w:t>)</w:t>
            </w:r>
          </w:p>
        </w:tc>
        <w:tc>
          <w:tcPr>
            <w:tcW w:w="762" w:type="pct"/>
          </w:tcPr>
          <w:p w14:paraId="68E48B3D" w14:textId="77777777" w:rsidR="00760ECA"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(908)</w:t>
            </w:r>
          </w:p>
        </w:tc>
        <w:tc>
          <w:tcPr>
            <w:tcW w:w="701" w:type="pct"/>
            <w:vAlign w:val="bottom"/>
          </w:tcPr>
          <w:p w14:paraId="22BE9979" w14:textId="77777777" w:rsidR="00760ECA" w:rsidRPr="002F3885" w:rsidRDefault="00F1206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(2,602)</w:t>
            </w:r>
          </w:p>
        </w:tc>
      </w:tr>
      <w:tr w:rsidR="00760ECA" w:rsidRPr="002F3885" w14:paraId="67681D2F" w14:textId="77777777" w:rsidTr="00B35DF0">
        <w:trPr>
          <w:cantSplit/>
          <w:trHeight w:val="259"/>
          <w:jc w:val="center"/>
        </w:trPr>
        <w:tc>
          <w:tcPr>
            <w:tcW w:w="2274" w:type="pct"/>
          </w:tcPr>
          <w:p w14:paraId="3332E054" w14:textId="77777777" w:rsidR="00760ECA" w:rsidRPr="002F3885" w:rsidRDefault="00760ECA" w:rsidP="009D1134">
            <w:pPr>
              <w:widowControl/>
              <w:tabs>
                <w:tab w:val="right" w:leader="dot" w:pos="3820"/>
              </w:tabs>
              <w:suppressAutoHyphens/>
              <w:spacing w:after="20"/>
              <w:ind w:left="200" w:hanging="200"/>
              <w:rPr>
                <w:lang w:val="en-US"/>
              </w:rPr>
            </w:pPr>
            <w:r>
              <w:rPr>
                <w:lang w:val="en-US"/>
              </w:rPr>
              <w:t>Tax charge</w:t>
            </w:r>
            <w:r w:rsidRPr="002F3885">
              <w:rPr>
                <w:lang w:val="en-US"/>
              </w:rPr>
              <w:tab/>
            </w:r>
          </w:p>
        </w:tc>
        <w:tc>
          <w:tcPr>
            <w:tcW w:w="501" w:type="pct"/>
            <w:vAlign w:val="bottom"/>
          </w:tcPr>
          <w:p w14:paraId="41D4B9A7"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62" w:type="pct"/>
          </w:tcPr>
          <w:p w14:paraId="18E30BEB" w14:textId="77777777" w:rsidR="00760ECA" w:rsidRDefault="00760ECA"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762" w:type="pct"/>
          </w:tcPr>
          <w:p w14:paraId="594CFE73" w14:textId="77777777" w:rsidR="00760ECA" w:rsidRDefault="00760ECA" w:rsidP="00B35DF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701" w:type="pct"/>
            <w:vAlign w:val="bottom"/>
          </w:tcPr>
          <w:p w14:paraId="79CA77F0" w14:textId="77777777" w:rsidR="00760ECA" w:rsidRPr="002F3885" w:rsidRDefault="00F12063"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r>
      <w:tr w:rsidR="00760ECA" w:rsidRPr="002F3885" w14:paraId="3FD17D1D" w14:textId="77777777" w:rsidTr="00B35DF0">
        <w:trPr>
          <w:cantSplit/>
          <w:trHeight w:val="440"/>
          <w:jc w:val="center"/>
        </w:trPr>
        <w:tc>
          <w:tcPr>
            <w:tcW w:w="2274" w:type="pct"/>
          </w:tcPr>
          <w:p w14:paraId="20347C9A" w14:textId="77777777" w:rsidR="00760ECA" w:rsidRPr="002F3885" w:rsidRDefault="00EC5790" w:rsidP="00EC5790">
            <w:pPr>
              <w:widowControl/>
              <w:tabs>
                <w:tab w:val="right" w:leader="dot" w:pos="3820"/>
              </w:tabs>
              <w:suppressAutoHyphens/>
              <w:spacing w:after="40"/>
              <w:ind w:left="200" w:hanging="200"/>
              <w:rPr>
                <w:lang w:val="en-US"/>
              </w:rPr>
            </w:pPr>
            <w:r>
              <w:rPr>
                <w:b/>
                <w:bCs/>
                <w:lang w:val="en-US"/>
              </w:rPr>
              <w:t>Loss</w:t>
            </w:r>
            <w:r w:rsidR="00760ECA">
              <w:rPr>
                <w:b/>
                <w:bCs/>
                <w:lang w:val="en-US"/>
              </w:rPr>
              <w:t xml:space="preserve"> for the period</w:t>
            </w:r>
            <w:r w:rsidR="00760ECA" w:rsidRPr="002F3885">
              <w:rPr>
                <w:b/>
                <w:bCs/>
                <w:lang w:val="en-US"/>
              </w:rPr>
              <w:t xml:space="preserve"> attributable to owners of the </w:t>
            </w:r>
            <w:r>
              <w:rPr>
                <w:b/>
                <w:bCs/>
                <w:lang w:val="en-US"/>
              </w:rPr>
              <w:t>Group</w:t>
            </w:r>
            <w:r w:rsidR="00760ECA" w:rsidRPr="002F3885">
              <w:rPr>
                <w:b/>
                <w:bCs/>
                <w:lang w:val="en-US"/>
              </w:rPr>
              <w:t xml:space="preserve"> and </w:t>
            </w:r>
            <w:r w:rsidR="00A07AC6">
              <w:rPr>
                <w:b/>
                <w:bCs/>
                <w:lang w:val="en-US"/>
              </w:rPr>
              <w:t xml:space="preserve">total </w:t>
            </w:r>
            <w:r w:rsidR="00760ECA" w:rsidRPr="002F3885">
              <w:rPr>
                <w:b/>
                <w:bCs/>
                <w:lang w:val="en-US"/>
              </w:rPr>
              <w:t xml:space="preserve">comprehensive </w:t>
            </w:r>
            <w:r w:rsidR="00760ECA">
              <w:rPr>
                <w:b/>
                <w:bCs/>
                <w:lang w:val="en-US"/>
              </w:rPr>
              <w:t>income for the period</w:t>
            </w:r>
          </w:p>
        </w:tc>
        <w:tc>
          <w:tcPr>
            <w:tcW w:w="501" w:type="pct"/>
            <w:vAlign w:val="bottom"/>
          </w:tcPr>
          <w:p w14:paraId="189CE256"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lang w:val="en-US"/>
              </w:rPr>
            </w:pPr>
          </w:p>
        </w:tc>
        <w:tc>
          <w:tcPr>
            <w:tcW w:w="762" w:type="pct"/>
          </w:tcPr>
          <w:p w14:paraId="55A3AE2B" w14:textId="77777777" w:rsidR="00760ECA" w:rsidRDefault="00760ECA" w:rsidP="00E70039">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p w14:paraId="035D98EB" w14:textId="77777777" w:rsidR="00760ECA" w:rsidRDefault="00760ECA" w:rsidP="00E70039">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p w14:paraId="38C01510" w14:textId="77777777" w:rsidR="00760ECA" w:rsidRDefault="00284266" w:rsidP="00F033B6">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w:t>
            </w:r>
            <w:r w:rsidR="00F033B6">
              <w:rPr>
                <w:lang w:val="en-US"/>
              </w:rPr>
              <w:t>562</w:t>
            </w:r>
            <w:r>
              <w:rPr>
                <w:lang w:val="en-US"/>
              </w:rPr>
              <w:t>)</w:t>
            </w:r>
          </w:p>
        </w:tc>
        <w:tc>
          <w:tcPr>
            <w:tcW w:w="762" w:type="pct"/>
          </w:tcPr>
          <w:p w14:paraId="3BF4C84D" w14:textId="77777777" w:rsidR="00760ECA" w:rsidRDefault="00760ECA" w:rsidP="00B35D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p w14:paraId="38B5025F" w14:textId="77777777" w:rsidR="00760ECA" w:rsidRDefault="00760ECA" w:rsidP="00B35D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p w14:paraId="1328CC88" w14:textId="77777777" w:rsidR="00760ECA" w:rsidRDefault="00760ECA" w:rsidP="00B35DF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(908)</w:t>
            </w:r>
          </w:p>
        </w:tc>
        <w:tc>
          <w:tcPr>
            <w:tcW w:w="701" w:type="pct"/>
            <w:vAlign w:val="bottom"/>
          </w:tcPr>
          <w:p w14:paraId="1F3B44F7" w14:textId="77777777" w:rsidR="00760ECA" w:rsidRPr="002F3885" w:rsidRDefault="00F12063"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(2,602)</w:t>
            </w:r>
          </w:p>
        </w:tc>
      </w:tr>
      <w:tr w:rsidR="00760ECA" w:rsidRPr="002F3885" w14:paraId="6155C460" w14:textId="77777777" w:rsidTr="00B35DF0">
        <w:trPr>
          <w:cantSplit/>
          <w:trHeight w:val="704"/>
          <w:jc w:val="center"/>
        </w:trPr>
        <w:tc>
          <w:tcPr>
            <w:tcW w:w="2274" w:type="pct"/>
          </w:tcPr>
          <w:p w14:paraId="62B9A304" w14:textId="77777777" w:rsidR="00760ECA"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lang w:val="en-US"/>
              </w:rPr>
            </w:pPr>
          </w:p>
          <w:p w14:paraId="06AFB65C"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Pr>
                <w:b/>
                <w:bCs/>
                <w:lang w:val="en-US"/>
              </w:rPr>
              <w:t xml:space="preserve">Basic </w:t>
            </w:r>
            <w:r w:rsidRPr="002F3885">
              <w:rPr>
                <w:b/>
                <w:bCs/>
                <w:lang w:val="en-US"/>
              </w:rPr>
              <w:t>earnings per share attributable to owners of the pare</w:t>
            </w:r>
            <w:r>
              <w:rPr>
                <w:b/>
                <w:bCs/>
                <w:lang w:val="en-US"/>
              </w:rPr>
              <w:t>nt during the period</w:t>
            </w:r>
          </w:p>
        </w:tc>
        <w:tc>
          <w:tcPr>
            <w:tcW w:w="501" w:type="pct"/>
            <w:vAlign w:val="bottom"/>
          </w:tcPr>
          <w:p w14:paraId="1DF39C19"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62" w:type="pct"/>
          </w:tcPr>
          <w:p w14:paraId="25B83929" w14:textId="77777777" w:rsidR="00760ECA" w:rsidRPr="002F3885" w:rsidRDefault="00760ECA"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62" w:type="pct"/>
          </w:tcPr>
          <w:p w14:paraId="277597B6" w14:textId="77777777" w:rsidR="00760ECA" w:rsidRPr="002F3885"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1" w:type="pct"/>
            <w:vAlign w:val="bottom"/>
          </w:tcPr>
          <w:p w14:paraId="6549F556" w14:textId="77777777" w:rsidR="00760ECA" w:rsidRPr="002F3885" w:rsidRDefault="00760ECA"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760ECA" w:rsidRPr="002F3885" w14:paraId="375E9524" w14:textId="77777777" w:rsidTr="00B35DF0">
        <w:trPr>
          <w:cantSplit/>
          <w:trHeight w:val="229"/>
          <w:jc w:val="center"/>
        </w:trPr>
        <w:tc>
          <w:tcPr>
            <w:tcW w:w="2274" w:type="pct"/>
          </w:tcPr>
          <w:p w14:paraId="325B7270" w14:textId="77777777" w:rsidR="00760ECA" w:rsidRPr="00533092" w:rsidRDefault="00760ECA" w:rsidP="00D431F3">
            <w:pPr>
              <w:widowControl/>
              <w:tabs>
                <w:tab w:val="right" w:leader="dot" w:pos="3820"/>
              </w:tabs>
              <w:suppressAutoHyphens/>
              <w:ind w:left="200" w:hanging="200"/>
              <w:rPr>
                <w:lang w:val="en-US"/>
              </w:rPr>
            </w:pPr>
            <w:r w:rsidRPr="00533092">
              <w:rPr>
                <w:lang w:val="en-US"/>
              </w:rPr>
              <w:t>Basic (pence)</w:t>
            </w:r>
            <w:r w:rsidRPr="00533092">
              <w:rPr>
                <w:lang w:val="en-US"/>
              </w:rPr>
              <w:tab/>
            </w:r>
          </w:p>
        </w:tc>
        <w:tc>
          <w:tcPr>
            <w:tcW w:w="501" w:type="pct"/>
            <w:vAlign w:val="bottom"/>
          </w:tcPr>
          <w:p w14:paraId="79420B2D" w14:textId="77777777" w:rsidR="00760ECA" w:rsidRPr="002F3885" w:rsidRDefault="00760ECA" w:rsidP="000E2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9</w:t>
            </w:r>
          </w:p>
        </w:tc>
        <w:tc>
          <w:tcPr>
            <w:tcW w:w="762" w:type="pct"/>
          </w:tcPr>
          <w:p w14:paraId="75B3AB0A" w14:textId="77777777" w:rsidR="00760ECA" w:rsidRPr="007F6A70" w:rsidRDefault="00760ECA" w:rsidP="00F033B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7F6A70">
              <w:rPr>
                <w:lang w:val="en-US"/>
              </w:rPr>
              <w:t>(</w:t>
            </w:r>
            <w:r w:rsidR="00EC5790">
              <w:rPr>
                <w:lang w:val="en-US"/>
              </w:rPr>
              <w:t>4.</w:t>
            </w:r>
            <w:r w:rsidR="00777C85">
              <w:rPr>
                <w:lang w:val="en-US"/>
              </w:rPr>
              <w:t>5</w:t>
            </w:r>
            <w:r w:rsidR="00F033B6">
              <w:rPr>
                <w:lang w:val="en-US"/>
              </w:rPr>
              <w:t>8</w:t>
            </w:r>
            <w:r w:rsidRPr="007F6A70">
              <w:rPr>
                <w:lang w:val="en-US"/>
              </w:rPr>
              <w:t>)</w:t>
            </w:r>
          </w:p>
        </w:tc>
        <w:tc>
          <w:tcPr>
            <w:tcW w:w="762" w:type="pct"/>
          </w:tcPr>
          <w:p w14:paraId="08B59BD7" w14:textId="77777777" w:rsidR="00760ECA" w:rsidRPr="007F6A70"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7F6A70">
              <w:rPr>
                <w:lang w:val="en-US"/>
              </w:rPr>
              <w:t>(1.63)</w:t>
            </w:r>
          </w:p>
        </w:tc>
        <w:tc>
          <w:tcPr>
            <w:tcW w:w="701" w:type="pct"/>
            <w:vAlign w:val="bottom"/>
          </w:tcPr>
          <w:p w14:paraId="3A284EAA" w14:textId="77777777" w:rsidR="00760ECA" w:rsidRDefault="00F12063" w:rsidP="00D431F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(4.66)</w:t>
            </w:r>
          </w:p>
        </w:tc>
      </w:tr>
      <w:tr w:rsidR="00760ECA" w:rsidRPr="002F3885" w14:paraId="4539FE05" w14:textId="77777777" w:rsidTr="00B35DF0">
        <w:trPr>
          <w:cantSplit/>
          <w:trHeight w:val="229"/>
          <w:jc w:val="center"/>
        </w:trPr>
        <w:tc>
          <w:tcPr>
            <w:tcW w:w="2274" w:type="pct"/>
          </w:tcPr>
          <w:p w14:paraId="428C678F" w14:textId="77777777" w:rsidR="00760ECA" w:rsidRPr="00533092" w:rsidRDefault="00760ECA" w:rsidP="009D1134">
            <w:pPr>
              <w:widowControl/>
              <w:tabs>
                <w:tab w:val="right" w:leader="dot" w:pos="3820"/>
              </w:tabs>
              <w:suppressAutoHyphens/>
              <w:ind w:left="200" w:hanging="200"/>
              <w:rPr>
                <w:lang w:val="en-US"/>
              </w:rPr>
            </w:pPr>
            <w:r>
              <w:rPr>
                <w:lang w:val="en-US"/>
              </w:rPr>
              <w:t>Diluted</w:t>
            </w:r>
            <w:r w:rsidRPr="00533092">
              <w:rPr>
                <w:lang w:val="en-US"/>
              </w:rPr>
              <w:t xml:space="preserve"> (pence)</w:t>
            </w:r>
            <w:r w:rsidRPr="00533092">
              <w:rPr>
                <w:lang w:val="en-US"/>
              </w:rPr>
              <w:tab/>
            </w:r>
          </w:p>
        </w:tc>
        <w:tc>
          <w:tcPr>
            <w:tcW w:w="501" w:type="pct"/>
            <w:vAlign w:val="bottom"/>
          </w:tcPr>
          <w:p w14:paraId="1F6DBEDB" w14:textId="77777777" w:rsidR="00760ECA" w:rsidRPr="002F3885" w:rsidRDefault="00760ECA" w:rsidP="009678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9</w:t>
            </w:r>
          </w:p>
        </w:tc>
        <w:tc>
          <w:tcPr>
            <w:tcW w:w="762" w:type="pct"/>
          </w:tcPr>
          <w:p w14:paraId="503F8C3C" w14:textId="77777777" w:rsidR="00760ECA" w:rsidRPr="007F6A70" w:rsidRDefault="00760ECA" w:rsidP="00777C8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7F6A70">
              <w:rPr>
                <w:lang w:val="en-US"/>
              </w:rPr>
              <w:t>(</w:t>
            </w:r>
            <w:r w:rsidR="00EC5790">
              <w:rPr>
                <w:lang w:val="en-US"/>
              </w:rPr>
              <w:t>4.</w:t>
            </w:r>
            <w:r w:rsidR="00777C85">
              <w:rPr>
                <w:lang w:val="en-US"/>
              </w:rPr>
              <w:t>5</w:t>
            </w:r>
            <w:r w:rsidR="00F033B6">
              <w:rPr>
                <w:lang w:val="en-US"/>
              </w:rPr>
              <w:t>8</w:t>
            </w:r>
            <w:r w:rsidRPr="007F6A70">
              <w:rPr>
                <w:lang w:val="en-US"/>
              </w:rPr>
              <w:t>)</w:t>
            </w:r>
          </w:p>
        </w:tc>
        <w:tc>
          <w:tcPr>
            <w:tcW w:w="762" w:type="pct"/>
          </w:tcPr>
          <w:p w14:paraId="30F3A7E0" w14:textId="77777777" w:rsidR="00760ECA" w:rsidRPr="007F6A70" w:rsidRDefault="00760ECA" w:rsidP="00B35DF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7F6A70">
              <w:rPr>
                <w:lang w:val="en-US"/>
              </w:rPr>
              <w:t>(1.</w:t>
            </w:r>
            <w:r>
              <w:rPr>
                <w:lang w:val="en-US"/>
              </w:rPr>
              <w:t>63</w:t>
            </w:r>
            <w:r w:rsidRPr="007F6A70">
              <w:rPr>
                <w:lang w:val="en-US"/>
              </w:rPr>
              <w:t>)</w:t>
            </w:r>
          </w:p>
        </w:tc>
        <w:tc>
          <w:tcPr>
            <w:tcW w:w="701" w:type="pct"/>
            <w:vAlign w:val="bottom"/>
          </w:tcPr>
          <w:p w14:paraId="0E7BFA32" w14:textId="77777777" w:rsidR="00760ECA" w:rsidRDefault="00F12063" w:rsidP="009C0BA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(4.66)</w:t>
            </w:r>
          </w:p>
        </w:tc>
      </w:tr>
    </w:tbl>
    <w:p w14:paraId="5CD2E5F3" w14:textId="77777777" w:rsidR="009356D9" w:rsidRDefault="009356D9" w:rsidP="009D1134">
      <w:pPr>
        <w:keepNext/>
        <w:keepLines/>
        <w:widowControl/>
        <w:tabs>
          <w:tab w:val="left" w:pos="720"/>
          <w:tab w:val="left" w:pos="1440"/>
          <w:tab w:val="center" w:pos="5400"/>
        </w:tabs>
        <w:suppressAutoHyphens/>
        <w:spacing w:before="240" w:after="240"/>
        <w:jc w:val="center"/>
        <w:rPr>
          <w:b/>
          <w:bCs/>
          <w:lang w:val="en-US"/>
        </w:rPr>
      </w:pPr>
    </w:p>
    <w:p w14:paraId="21CC76D8" w14:textId="77777777" w:rsidR="007C2747" w:rsidRDefault="0046444D" w:rsidP="00DD2E7D">
      <w:pPr>
        <w:jc w:val="both"/>
        <w:rPr>
          <w:bCs/>
          <w:lang w:val="en-US"/>
        </w:rPr>
      </w:pPr>
      <w:r>
        <w:t>Clean EBITDA is a non GAAP company specific measure and excludes interest, tax, depreciation, amortisation, share based payment expenses and other items which the directors consider to be non-recurring and one time in nature.</w:t>
      </w:r>
      <w:r w:rsidR="00D94FB3">
        <w:t xml:space="preserve"> </w:t>
      </w:r>
      <w:r w:rsidR="007C2747">
        <w:rPr>
          <w:bCs/>
          <w:lang w:val="en-US"/>
        </w:rPr>
        <w:t xml:space="preserve">Where not explicitly mentioned, EBITDA refers to EBITDA from continuing operations. </w:t>
      </w:r>
    </w:p>
    <w:p w14:paraId="3BF7EE99" w14:textId="77777777" w:rsidR="007C2747" w:rsidRDefault="007C2747" w:rsidP="00DD2E7D">
      <w:pPr>
        <w:jc w:val="both"/>
        <w:rPr>
          <w:bCs/>
          <w:lang w:val="en-US"/>
        </w:rPr>
      </w:pPr>
    </w:p>
    <w:p w14:paraId="31892AEA" w14:textId="77777777" w:rsidR="0098558B" w:rsidRPr="00DD2E7D" w:rsidRDefault="00DD2E7D" w:rsidP="00DD2E7D">
      <w:pPr>
        <w:jc w:val="right"/>
        <w:rPr>
          <w:b/>
        </w:rPr>
      </w:pPr>
      <w:r>
        <w:rPr>
          <w:bCs/>
          <w:lang w:val="en-US"/>
        </w:rPr>
        <w:br w:type="page"/>
      </w:r>
    </w:p>
    <w:p w14:paraId="764029D9" w14:textId="77777777" w:rsidR="009356D9" w:rsidRPr="00221793" w:rsidRDefault="009356D9" w:rsidP="009356D9">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169257AE" w14:textId="77777777" w:rsidR="009356D9" w:rsidRPr="00221793" w:rsidRDefault="009356D9" w:rsidP="009356D9">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w:t>
      </w:r>
      <w:r w:rsidR="00B35DF0">
        <w:rPr>
          <w:b/>
          <w:bCs/>
          <w:sz w:val="24"/>
          <w:szCs w:val="24"/>
          <w:lang w:val="en-US"/>
        </w:rPr>
        <w:t>30 June 2015</w:t>
      </w:r>
    </w:p>
    <w:p w14:paraId="073A6CC8" w14:textId="77777777" w:rsidR="009D1134" w:rsidRPr="00221793" w:rsidRDefault="009D1134" w:rsidP="009D1134">
      <w:pPr>
        <w:keepNext/>
        <w:keepLines/>
        <w:widowControl/>
        <w:tabs>
          <w:tab w:val="left" w:pos="720"/>
          <w:tab w:val="left" w:pos="1440"/>
          <w:tab w:val="center" w:pos="5400"/>
        </w:tabs>
        <w:suppressAutoHyphens/>
        <w:spacing w:before="240" w:after="240"/>
        <w:jc w:val="center"/>
        <w:rPr>
          <w:b/>
          <w:bCs/>
          <w:sz w:val="24"/>
          <w:szCs w:val="24"/>
          <w:lang w:val="en-US"/>
        </w:rPr>
      </w:pPr>
      <w:r w:rsidRPr="00221793">
        <w:rPr>
          <w:b/>
          <w:bCs/>
          <w:sz w:val="24"/>
          <w:szCs w:val="24"/>
          <w:lang w:val="en-US"/>
        </w:rPr>
        <w:t>Consolidated statement of financial position</w:t>
      </w:r>
    </w:p>
    <w:tbl>
      <w:tblPr>
        <w:tblW w:w="5000" w:type="pct"/>
        <w:jc w:val="center"/>
        <w:tblCellMar>
          <w:left w:w="72" w:type="dxa"/>
          <w:right w:w="72" w:type="dxa"/>
        </w:tblCellMar>
        <w:tblLook w:val="0000" w:firstRow="0" w:lastRow="0" w:firstColumn="0" w:lastColumn="0" w:noHBand="0" w:noVBand="0"/>
      </w:tblPr>
      <w:tblGrid>
        <w:gridCol w:w="4487"/>
        <w:gridCol w:w="812"/>
        <w:gridCol w:w="1527"/>
        <w:gridCol w:w="1408"/>
        <w:gridCol w:w="1408"/>
      </w:tblGrid>
      <w:tr w:rsidR="002B3815" w:rsidRPr="002F3885" w14:paraId="5B2AD7A5" w14:textId="77777777">
        <w:trPr>
          <w:cantSplit/>
          <w:trHeight w:val="772"/>
          <w:jc w:val="center"/>
        </w:trPr>
        <w:tc>
          <w:tcPr>
            <w:tcW w:w="2327" w:type="pct"/>
            <w:vAlign w:val="bottom"/>
          </w:tcPr>
          <w:p w14:paraId="676BDB78"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421" w:type="pct"/>
            <w:vAlign w:val="bottom"/>
          </w:tcPr>
          <w:p w14:paraId="2FCF67E1" w14:textId="77777777" w:rsidR="002B3815" w:rsidRPr="002F3885" w:rsidRDefault="002B3815"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Notes</w:t>
            </w:r>
          </w:p>
        </w:tc>
        <w:tc>
          <w:tcPr>
            <w:tcW w:w="792" w:type="pct"/>
            <w:vAlign w:val="bottom"/>
          </w:tcPr>
          <w:p w14:paraId="42D1020C" w14:textId="77777777" w:rsidR="002B3815" w:rsidRDefault="002B3815" w:rsidP="00BB79C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 xml:space="preserve">At </w:t>
            </w:r>
            <w:r>
              <w:rPr>
                <w:b/>
                <w:bCs/>
                <w:sz w:val="16"/>
                <w:szCs w:val="18"/>
                <w:lang w:val="en-US"/>
              </w:rPr>
              <w:t>30 June</w:t>
            </w:r>
            <w:r w:rsidRPr="002F3885">
              <w:rPr>
                <w:b/>
                <w:bCs/>
                <w:sz w:val="16"/>
                <w:szCs w:val="18"/>
                <w:lang w:val="en-US"/>
              </w:rPr>
              <w:t xml:space="preserve"> </w:t>
            </w:r>
          </w:p>
          <w:p w14:paraId="674861FF" w14:textId="77777777" w:rsidR="002B3815" w:rsidRDefault="002B3815" w:rsidP="00BB79C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201</w:t>
            </w:r>
            <w:r w:rsidR="00163EE8">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5EE45318" w14:textId="77777777" w:rsidR="00833129" w:rsidRPr="002F3885" w:rsidRDefault="00833129" w:rsidP="00BB79C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Unaudited</w:t>
            </w:r>
          </w:p>
        </w:tc>
        <w:tc>
          <w:tcPr>
            <w:tcW w:w="730" w:type="pct"/>
            <w:vAlign w:val="bottom"/>
          </w:tcPr>
          <w:p w14:paraId="7854A94A" w14:textId="77777777" w:rsidR="002B3815" w:rsidRDefault="002B3815"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 xml:space="preserve">At </w:t>
            </w:r>
            <w:r>
              <w:rPr>
                <w:b/>
                <w:bCs/>
                <w:sz w:val="16"/>
                <w:szCs w:val="18"/>
                <w:lang w:val="en-US"/>
              </w:rPr>
              <w:t>30 June</w:t>
            </w:r>
          </w:p>
          <w:p w14:paraId="62EF7976" w14:textId="77777777" w:rsidR="002B3815" w:rsidRDefault="002B3815"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 xml:space="preserve"> </w:t>
            </w:r>
            <w:r w:rsidR="00163EE8">
              <w:rPr>
                <w:b/>
                <w:bCs/>
                <w:sz w:val="16"/>
                <w:szCs w:val="18"/>
                <w:lang w:val="en-US"/>
              </w:rPr>
              <w:t xml:space="preserve"> 2014</w:t>
            </w:r>
            <w:r w:rsidRPr="002F3885">
              <w:rPr>
                <w:b/>
                <w:bCs/>
                <w:sz w:val="16"/>
                <w:szCs w:val="18"/>
                <w:lang w:val="en-US"/>
              </w:rPr>
              <w:br/>
            </w:r>
            <w:r>
              <w:rPr>
                <w:b/>
                <w:bCs/>
                <w:sz w:val="16"/>
                <w:szCs w:val="18"/>
                <w:lang w:val="en-US"/>
              </w:rPr>
              <w:t>£’</w:t>
            </w:r>
            <w:r w:rsidRPr="002F3885">
              <w:rPr>
                <w:b/>
                <w:bCs/>
                <w:sz w:val="16"/>
                <w:szCs w:val="18"/>
                <w:lang w:val="en-US"/>
              </w:rPr>
              <w:t>000</w:t>
            </w:r>
          </w:p>
          <w:p w14:paraId="18138E31" w14:textId="77777777" w:rsidR="00833129" w:rsidRPr="002F3885" w:rsidRDefault="00833129"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Unaudited</w:t>
            </w:r>
          </w:p>
        </w:tc>
        <w:tc>
          <w:tcPr>
            <w:tcW w:w="730" w:type="pct"/>
            <w:vAlign w:val="bottom"/>
          </w:tcPr>
          <w:p w14:paraId="4142BDF9" w14:textId="77777777" w:rsidR="002B3815" w:rsidRDefault="002B3815" w:rsidP="00523E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 xml:space="preserve">At 31 December </w:t>
            </w:r>
          </w:p>
          <w:p w14:paraId="387EE0EF" w14:textId="77777777" w:rsidR="002B3815" w:rsidRDefault="00163EE8" w:rsidP="003174D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2014</w:t>
            </w:r>
            <w:r w:rsidR="002B3815" w:rsidRPr="002F3885">
              <w:rPr>
                <w:b/>
                <w:bCs/>
                <w:sz w:val="16"/>
                <w:szCs w:val="18"/>
                <w:lang w:val="en-US"/>
              </w:rPr>
              <w:br/>
            </w:r>
            <w:r w:rsidR="002B3815">
              <w:rPr>
                <w:b/>
                <w:bCs/>
                <w:sz w:val="16"/>
                <w:szCs w:val="18"/>
                <w:lang w:val="en-US"/>
              </w:rPr>
              <w:t>£’</w:t>
            </w:r>
            <w:r w:rsidR="002B3815" w:rsidRPr="002F3885">
              <w:rPr>
                <w:b/>
                <w:bCs/>
                <w:sz w:val="16"/>
                <w:szCs w:val="18"/>
                <w:lang w:val="en-US"/>
              </w:rPr>
              <w:t>000</w:t>
            </w:r>
          </w:p>
          <w:p w14:paraId="768804BE" w14:textId="77777777" w:rsidR="00833129" w:rsidRPr="002F3885" w:rsidRDefault="00833129" w:rsidP="003174D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Audited</w:t>
            </w:r>
          </w:p>
        </w:tc>
      </w:tr>
      <w:tr w:rsidR="002B3815" w:rsidRPr="002F3885" w14:paraId="3BF36955" w14:textId="77777777">
        <w:trPr>
          <w:cantSplit/>
          <w:trHeight w:val="226"/>
          <w:jc w:val="center"/>
        </w:trPr>
        <w:tc>
          <w:tcPr>
            <w:tcW w:w="2327" w:type="pct"/>
          </w:tcPr>
          <w:p w14:paraId="159FC111"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Non</w:t>
            </w:r>
            <w:r w:rsidRPr="002F3885">
              <w:rPr>
                <w:b/>
                <w:bCs/>
                <w:lang w:val="en-US"/>
              </w:rPr>
              <w:noBreakHyphen/>
              <w:t>current assets</w:t>
            </w:r>
          </w:p>
        </w:tc>
        <w:tc>
          <w:tcPr>
            <w:tcW w:w="421" w:type="pct"/>
            <w:vAlign w:val="bottom"/>
          </w:tcPr>
          <w:p w14:paraId="2CBE60C6"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1E935D3B"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166C56FC"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5551BE03" w14:textId="77777777" w:rsidR="002B3815" w:rsidRPr="002F3885" w:rsidRDefault="002B3815"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38DFAF6A" w14:textId="77777777">
        <w:trPr>
          <w:cantSplit/>
          <w:trHeight w:val="226"/>
          <w:jc w:val="center"/>
        </w:trPr>
        <w:tc>
          <w:tcPr>
            <w:tcW w:w="2327" w:type="pct"/>
          </w:tcPr>
          <w:p w14:paraId="041CBF78" w14:textId="77777777" w:rsidR="00163EE8" w:rsidRPr="002F3885" w:rsidRDefault="00163EE8" w:rsidP="009D1134">
            <w:pPr>
              <w:widowControl/>
              <w:tabs>
                <w:tab w:val="right" w:leader="dot" w:pos="3820"/>
              </w:tabs>
              <w:suppressAutoHyphens/>
              <w:ind w:left="200" w:hanging="200"/>
              <w:rPr>
                <w:lang w:val="en-US"/>
              </w:rPr>
            </w:pPr>
            <w:r w:rsidRPr="002F3885">
              <w:rPr>
                <w:lang w:val="en-US"/>
              </w:rPr>
              <w:t>Intangible assets</w:t>
            </w:r>
            <w:r w:rsidRPr="002F3885">
              <w:rPr>
                <w:lang w:val="en-US"/>
              </w:rPr>
              <w:tab/>
            </w:r>
          </w:p>
        </w:tc>
        <w:tc>
          <w:tcPr>
            <w:tcW w:w="421" w:type="pct"/>
            <w:vAlign w:val="bottom"/>
          </w:tcPr>
          <w:p w14:paraId="5DEA0D0C"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770376DF" w14:textId="77777777" w:rsidR="00163EE8" w:rsidRPr="002F3885" w:rsidRDefault="00127CA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4,354</w:t>
            </w:r>
          </w:p>
        </w:tc>
        <w:tc>
          <w:tcPr>
            <w:tcW w:w="730" w:type="pct"/>
            <w:vAlign w:val="bottom"/>
          </w:tcPr>
          <w:p w14:paraId="5AF45055"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1,671</w:t>
            </w:r>
          </w:p>
        </w:tc>
        <w:tc>
          <w:tcPr>
            <w:tcW w:w="730" w:type="pct"/>
            <w:vAlign w:val="bottom"/>
          </w:tcPr>
          <w:p w14:paraId="69BAA884" w14:textId="77777777" w:rsidR="00163EE8" w:rsidRPr="002F3885" w:rsidRDefault="00AF5671"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3,026</w:t>
            </w:r>
          </w:p>
        </w:tc>
      </w:tr>
      <w:tr w:rsidR="00163EE8" w:rsidRPr="002F3885" w14:paraId="7D2AD8A7" w14:textId="77777777">
        <w:trPr>
          <w:cantSplit/>
          <w:trHeight w:val="226"/>
          <w:jc w:val="center"/>
        </w:trPr>
        <w:tc>
          <w:tcPr>
            <w:tcW w:w="2327" w:type="pct"/>
          </w:tcPr>
          <w:p w14:paraId="785938B7" w14:textId="77777777" w:rsidR="00163EE8" w:rsidRPr="002F3885" w:rsidRDefault="00163EE8" w:rsidP="009D1134">
            <w:pPr>
              <w:widowControl/>
              <w:tabs>
                <w:tab w:val="right" w:leader="dot" w:pos="3820"/>
              </w:tabs>
              <w:suppressAutoHyphens/>
              <w:ind w:left="200" w:hanging="200"/>
              <w:rPr>
                <w:lang w:val="en-US"/>
              </w:rPr>
            </w:pPr>
            <w:r w:rsidRPr="002F3885">
              <w:rPr>
                <w:lang w:val="en-US"/>
              </w:rPr>
              <w:t>Property, plant and equipment</w:t>
            </w:r>
            <w:r w:rsidRPr="002F3885">
              <w:rPr>
                <w:lang w:val="en-US"/>
              </w:rPr>
              <w:tab/>
            </w:r>
          </w:p>
        </w:tc>
        <w:tc>
          <w:tcPr>
            <w:tcW w:w="421" w:type="pct"/>
            <w:vAlign w:val="bottom"/>
          </w:tcPr>
          <w:p w14:paraId="11E1C210"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1CDEA3C6" w14:textId="77777777" w:rsidR="00163EE8" w:rsidRPr="002F3885" w:rsidRDefault="004336FF"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963</w:t>
            </w:r>
          </w:p>
        </w:tc>
        <w:tc>
          <w:tcPr>
            <w:tcW w:w="730" w:type="pct"/>
            <w:vAlign w:val="bottom"/>
          </w:tcPr>
          <w:p w14:paraId="243DB31B"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648</w:t>
            </w:r>
          </w:p>
        </w:tc>
        <w:tc>
          <w:tcPr>
            <w:tcW w:w="730" w:type="pct"/>
            <w:vAlign w:val="bottom"/>
          </w:tcPr>
          <w:p w14:paraId="6E0CD3EB" w14:textId="77777777" w:rsidR="00163EE8" w:rsidRPr="002F3885" w:rsidRDefault="00AF5671"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805</w:t>
            </w:r>
          </w:p>
        </w:tc>
      </w:tr>
      <w:tr w:rsidR="00163EE8" w:rsidRPr="002F3885" w14:paraId="0EBF0FF9" w14:textId="77777777">
        <w:trPr>
          <w:cantSplit/>
          <w:trHeight w:val="257"/>
          <w:jc w:val="center"/>
        </w:trPr>
        <w:tc>
          <w:tcPr>
            <w:tcW w:w="2327" w:type="pct"/>
          </w:tcPr>
          <w:p w14:paraId="6FC6694A"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Deferred tax asset</w:t>
            </w:r>
            <w:r w:rsidRPr="002F3885">
              <w:rPr>
                <w:lang w:val="en-US"/>
              </w:rPr>
              <w:tab/>
            </w:r>
          </w:p>
        </w:tc>
        <w:tc>
          <w:tcPr>
            <w:tcW w:w="421" w:type="pct"/>
            <w:vAlign w:val="bottom"/>
          </w:tcPr>
          <w:p w14:paraId="29C22802"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18858C67" w14:textId="77777777" w:rsidR="00163EE8" w:rsidRPr="002F3885" w:rsidRDefault="00127CA8"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510</w:t>
            </w:r>
          </w:p>
        </w:tc>
        <w:tc>
          <w:tcPr>
            <w:tcW w:w="730" w:type="pct"/>
            <w:vAlign w:val="bottom"/>
          </w:tcPr>
          <w:p w14:paraId="5667FD52"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510</w:t>
            </w:r>
          </w:p>
        </w:tc>
        <w:tc>
          <w:tcPr>
            <w:tcW w:w="730" w:type="pct"/>
            <w:vAlign w:val="bottom"/>
          </w:tcPr>
          <w:p w14:paraId="6E6E0B94" w14:textId="77777777" w:rsidR="00163EE8" w:rsidRDefault="00AF5671"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510</w:t>
            </w:r>
          </w:p>
        </w:tc>
      </w:tr>
      <w:tr w:rsidR="00163EE8" w:rsidRPr="002F3885" w14:paraId="5D8170C3" w14:textId="77777777">
        <w:trPr>
          <w:cantSplit/>
          <w:trHeight w:val="257"/>
          <w:jc w:val="center"/>
        </w:trPr>
        <w:tc>
          <w:tcPr>
            <w:tcW w:w="2327" w:type="pct"/>
          </w:tcPr>
          <w:p w14:paraId="52D489D0"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rPr>
                <w:lang w:val="en-US"/>
              </w:rPr>
            </w:pPr>
          </w:p>
        </w:tc>
        <w:tc>
          <w:tcPr>
            <w:tcW w:w="421" w:type="pct"/>
            <w:vAlign w:val="bottom"/>
          </w:tcPr>
          <w:p w14:paraId="3EB7DFE8"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2F159DFA" w14:textId="77777777" w:rsidR="00163EE8" w:rsidRPr="002F3885" w:rsidRDefault="00127CA8"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5,827</w:t>
            </w:r>
          </w:p>
        </w:tc>
        <w:tc>
          <w:tcPr>
            <w:tcW w:w="730" w:type="pct"/>
            <w:vAlign w:val="bottom"/>
          </w:tcPr>
          <w:p w14:paraId="6B5A395D"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2,829</w:t>
            </w:r>
          </w:p>
        </w:tc>
        <w:tc>
          <w:tcPr>
            <w:tcW w:w="730" w:type="pct"/>
            <w:vAlign w:val="bottom"/>
          </w:tcPr>
          <w:p w14:paraId="7F5791CD" w14:textId="77777777" w:rsidR="00163EE8" w:rsidRPr="002F3885" w:rsidRDefault="00AF5671"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4,341</w:t>
            </w:r>
          </w:p>
        </w:tc>
      </w:tr>
      <w:tr w:rsidR="00163EE8" w:rsidRPr="002F3885" w14:paraId="0F58EB69" w14:textId="77777777">
        <w:trPr>
          <w:cantSplit/>
          <w:trHeight w:val="226"/>
          <w:jc w:val="center"/>
        </w:trPr>
        <w:tc>
          <w:tcPr>
            <w:tcW w:w="2327" w:type="pct"/>
          </w:tcPr>
          <w:p w14:paraId="49CFDC74"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Current assets</w:t>
            </w:r>
          </w:p>
        </w:tc>
        <w:tc>
          <w:tcPr>
            <w:tcW w:w="421" w:type="pct"/>
            <w:vAlign w:val="bottom"/>
          </w:tcPr>
          <w:p w14:paraId="46493265"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011F27E2"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2349BEC1"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5F27A7B0" w14:textId="77777777" w:rsidR="00163EE8" w:rsidRPr="002F3885" w:rsidRDefault="00163EE8"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3D3F5BE5" w14:textId="77777777">
        <w:trPr>
          <w:cantSplit/>
          <w:trHeight w:val="226"/>
          <w:jc w:val="center"/>
        </w:trPr>
        <w:tc>
          <w:tcPr>
            <w:tcW w:w="2327" w:type="pct"/>
          </w:tcPr>
          <w:p w14:paraId="614BDC7B" w14:textId="77777777" w:rsidR="00163EE8" w:rsidRPr="002F3885" w:rsidRDefault="00163EE8" w:rsidP="009D1134">
            <w:pPr>
              <w:widowControl/>
              <w:tabs>
                <w:tab w:val="right" w:leader="dot" w:pos="3820"/>
              </w:tabs>
              <w:suppressAutoHyphens/>
              <w:ind w:left="200" w:hanging="200"/>
              <w:rPr>
                <w:lang w:val="en-US"/>
              </w:rPr>
            </w:pPr>
            <w:r w:rsidRPr="002F3885">
              <w:rPr>
                <w:lang w:val="en-US"/>
              </w:rPr>
              <w:t>Trade and other receivables</w:t>
            </w:r>
            <w:r w:rsidRPr="002F3885">
              <w:rPr>
                <w:lang w:val="en-US"/>
              </w:rPr>
              <w:tab/>
            </w:r>
          </w:p>
        </w:tc>
        <w:tc>
          <w:tcPr>
            <w:tcW w:w="421" w:type="pct"/>
            <w:vAlign w:val="bottom"/>
          </w:tcPr>
          <w:p w14:paraId="36564382"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6</w:t>
            </w:r>
          </w:p>
        </w:tc>
        <w:tc>
          <w:tcPr>
            <w:tcW w:w="792" w:type="pct"/>
            <w:vAlign w:val="bottom"/>
          </w:tcPr>
          <w:p w14:paraId="2668B07D" w14:textId="77777777" w:rsidR="00163EE8" w:rsidRPr="002F3885" w:rsidRDefault="00127CA8" w:rsidP="001C24A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2,5</w:t>
            </w:r>
            <w:r w:rsidR="001C24AB">
              <w:rPr>
                <w:lang w:val="en-US"/>
              </w:rPr>
              <w:t>89</w:t>
            </w:r>
          </w:p>
        </w:tc>
        <w:tc>
          <w:tcPr>
            <w:tcW w:w="730" w:type="pct"/>
            <w:vAlign w:val="bottom"/>
          </w:tcPr>
          <w:p w14:paraId="19477238"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3,484</w:t>
            </w:r>
          </w:p>
        </w:tc>
        <w:tc>
          <w:tcPr>
            <w:tcW w:w="730" w:type="pct"/>
            <w:vAlign w:val="bottom"/>
          </w:tcPr>
          <w:p w14:paraId="64F59AC5" w14:textId="77777777" w:rsidR="00163EE8" w:rsidRPr="002F3885" w:rsidRDefault="00AF5671"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2,823</w:t>
            </w:r>
          </w:p>
        </w:tc>
      </w:tr>
      <w:tr w:rsidR="00163EE8" w:rsidRPr="002F3885" w14:paraId="13879107" w14:textId="77777777">
        <w:trPr>
          <w:cantSplit/>
          <w:trHeight w:val="257"/>
          <w:jc w:val="center"/>
        </w:trPr>
        <w:tc>
          <w:tcPr>
            <w:tcW w:w="2327" w:type="pct"/>
          </w:tcPr>
          <w:p w14:paraId="42B54259"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Cash and cash equivalents</w:t>
            </w:r>
            <w:r w:rsidRPr="002F3885">
              <w:rPr>
                <w:lang w:val="en-US"/>
              </w:rPr>
              <w:tab/>
            </w:r>
          </w:p>
        </w:tc>
        <w:tc>
          <w:tcPr>
            <w:tcW w:w="421" w:type="pct"/>
            <w:vAlign w:val="bottom"/>
          </w:tcPr>
          <w:p w14:paraId="3EBF2839"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4676EF05" w14:textId="77777777" w:rsidR="00163EE8" w:rsidRPr="002F3885" w:rsidRDefault="00127CA8" w:rsidP="001C24A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7,</w:t>
            </w:r>
            <w:r w:rsidR="001C24AB">
              <w:rPr>
                <w:lang w:val="en-US"/>
              </w:rPr>
              <w:t>622</w:t>
            </w:r>
          </w:p>
        </w:tc>
        <w:tc>
          <w:tcPr>
            <w:tcW w:w="730" w:type="pct"/>
            <w:vAlign w:val="bottom"/>
          </w:tcPr>
          <w:p w14:paraId="5BBC6443"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14,033</w:t>
            </w:r>
          </w:p>
        </w:tc>
        <w:tc>
          <w:tcPr>
            <w:tcW w:w="730" w:type="pct"/>
            <w:vAlign w:val="bottom"/>
          </w:tcPr>
          <w:p w14:paraId="655F4930" w14:textId="77777777" w:rsidR="00163EE8" w:rsidRPr="002F3885" w:rsidRDefault="00AF5671"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10,776</w:t>
            </w:r>
          </w:p>
        </w:tc>
      </w:tr>
      <w:tr w:rsidR="00163EE8" w:rsidRPr="002F3885" w14:paraId="10FC5E5D" w14:textId="77777777">
        <w:trPr>
          <w:cantSplit/>
          <w:trHeight w:val="257"/>
          <w:jc w:val="center"/>
        </w:trPr>
        <w:tc>
          <w:tcPr>
            <w:tcW w:w="2327" w:type="pct"/>
          </w:tcPr>
          <w:p w14:paraId="52D3842C"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rPr>
                <w:lang w:val="en-US"/>
              </w:rPr>
            </w:pPr>
          </w:p>
        </w:tc>
        <w:tc>
          <w:tcPr>
            <w:tcW w:w="421" w:type="pct"/>
            <w:vAlign w:val="bottom"/>
          </w:tcPr>
          <w:p w14:paraId="17826288"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000AA705" w14:textId="77777777" w:rsidR="00163EE8" w:rsidRPr="002F3885" w:rsidRDefault="00127CA8" w:rsidP="001C24A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10,</w:t>
            </w:r>
            <w:r w:rsidR="001C24AB">
              <w:rPr>
                <w:lang w:val="en-US"/>
              </w:rPr>
              <w:t>211</w:t>
            </w:r>
          </w:p>
        </w:tc>
        <w:tc>
          <w:tcPr>
            <w:tcW w:w="730" w:type="pct"/>
            <w:vAlign w:val="bottom"/>
          </w:tcPr>
          <w:p w14:paraId="33B6135B"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17,517</w:t>
            </w:r>
          </w:p>
        </w:tc>
        <w:tc>
          <w:tcPr>
            <w:tcW w:w="730" w:type="pct"/>
            <w:vAlign w:val="bottom"/>
          </w:tcPr>
          <w:p w14:paraId="6B1147CC" w14:textId="77777777" w:rsidR="00163EE8" w:rsidRPr="002F3885" w:rsidRDefault="00AF5671"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13,599</w:t>
            </w:r>
          </w:p>
        </w:tc>
      </w:tr>
      <w:tr w:rsidR="00163EE8" w:rsidRPr="002F3885" w14:paraId="1E61EA21" w14:textId="77777777">
        <w:trPr>
          <w:cantSplit/>
          <w:trHeight w:val="302"/>
          <w:jc w:val="center"/>
        </w:trPr>
        <w:tc>
          <w:tcPr>
            <w:tcW w:w="2327" w:type="pct"/>
          </w:tcPr>
          <w:p w14:paraId="3CBCD600" w14:textId="77777777" w:rsidR="00163EE8" w:rsidRPr="002F3885" w:rsidRDefault="00163EE8" w:rsidP="009D1134">
            <w:pPr>
              <w:widowControl/>
              <w:tabs>
                <w:tab w:val="right" w:leader="dot" w:pos="3820"/>
              </w:tabs>
              <w:suppressAutoHyphens/>
              <w:spacing w:after="40"/>
              <w:ind w:left="200" w:hanging="200"/>
              <w:rPr>
                <w:lang w:val="en-US"/>
              </w:rPr>
            </w:pPr>
            <w:r w:rsidRPr="002F3885">
              <w:rPr>
                <w:b/>
                <w:bCs/>
                <w:lang w:val="en-US"/>
              </w:rPr>
              <w:t>Total assets</w:t>
            </w:r>
            <w:r w:rsidRPr="002F3885">
              <w:rPr>
                <w:lang w:val="en-US"/>
              </w:rPr>
              <w:tab/>
            </w:r>
          </w:p>
        </w:tc>
        <w:tc>
          <w:tcPr>
            <w:tcW w:w="421" w:type="pct"/>
            <w:vAlign w:val="bottom"/>
          </w:tcPr>
          <w:p w14:paraId="336A8B07"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lang w:val="en-US"/>
              </w:rPr>
            </w:pPr>
          </w:p>
        </w:tc>
        <w:tc>
          <w:tcPr>
            <w:tcW w:w="792" w:type="pct"/>
            <w:vAlign w:val="bottom"/>
          </w:tcPr>
          <w:p w14:paraId="19645AE5" w14:textId="77777777" w:rsidR="00163EE8" w:rsidRPr="002F3885" w:rsidRDefault="00127CA8" w:rsidP="001C24A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w:t>
            </w:r>
            <w:r w:rsidR="001C24AB">
              <w:rPr>
                <w:b/>
                <w:bCs/>
                <w:lang w:val="en-US"/>
              </w:rPr>
              <w:t>6,038</w:t>
            </w:r>
          </w:p>
        </w:tc>
        <w:tc>
          <w:tcPr>
            <w:tcW w:w="730" w:type="pct"/>
            <w:vAlign w:val="bottom"/>
          </w:tcPr>
          <w:p w14:paraId="39FFC461" w14:textId="77777777" w:rsidR="00163EE8" w:rsidRPr="002F3885" w:rsidRDefault="00163EE8"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20,346</w:t>
            </w:r>
          </w:p>
        </w:tc>
        <w:tc>
          <w:tcPr>
            <w:tcW w:w="730" w:type="pct"/>
            <w:vAlign w:val="bottom"/>
          </w:tcPr>
          <w:p w14:paraId="241D9821" w14:textId="77777777" w:rsidR="00163EE8" w:rsidRPr="002F3885" w:rsidRDefault="00AF5671" w:rsidP="002D726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17,940</w:t>
            </w:r>
          </w:p>
        </w:tc>
      </w:tr>
      <w:tr w:rsidR="00163EE8" w:rsidRPr="002F3885" w14:paraId="6328392C" w14:textId="77777777">
        <w:trPr>
          <w:cantSplit/>
          <w:trHeight w:val="226"/>
          <w:jc w:val="center"/>
        </w:trPr>
        <w:tc>
          <w:tcPr>
            <w:tcW w:w="2327" w:type="pct"/>
          </w:tcPr>
          <w:p w14:paraId="2D5FBA0C" w14:textId="77777777" w:rsidR="00163EE8"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lang w:val="en-US"/>
              </w:rPr>
            </w:pPr>
          </w:p>
          <w:p w14:paraId="4C7131D4"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Current liabilities</w:t>
            </w:r>
          </w:p>
        </w:tc>
        <w:tc>
          <w:tcPr>
            <w:tcW w:w="421" w:type="pct"/>
            <w:vAlign w:val="bottom"/>
          </w:tcPr>
          <w:p w14:paraId="2D917931"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40E32B36"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65FD8B5C"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4AD832F8" w14:textId="77777777" w:rsidR="00163EE8" w:rsidRPr="002F3885" w:rsidRDefault="00163EE8"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6F654BC0" w14:textId="77777777">
        <w:trPr>
          <w:cantSplit/>
          <w:trHeight w:val="226"/>
          <w:jc w:val="center"/>
        </w:trPr>
        <w:tc>
          <w:tcPr>
            <w:tcW w:w="2327" w:type="pct"/>
          </w:tcPr>
          <w:p w14:paraId="1926281A" w14:textId="77777777" w:rsidR="00163EE8" w:rsidRPr="002F3885" w:rsidRDefault="00163EE8" w:rsidP="009D1134">
            <w:pPr>
              <w:widowControl/>
              <w:tabs>
                <w:tab w:val="right" w:leader="dot" w:pos="3820"/>
              </w:tabs>
              <w:suppressAutoHyphens/>
              <w:ind w:left="200" w:hanging="200"/>
              <w:rPr>
                <w:lang w:val="en-US"/>
              </w:rPr>
            </w:pPr>
            <w:r w:rsidRPr="002F3885">
              <w:rPr>
                <w:lang w:val="en-US"/>
              </w:rPr>
              <w:t>Trade and other payables</w:t>
            </w:r>
            <w:r w:rsidRPr="002F3885">
              <w:rPr>
                <w:lang w:val="en-US"/>
              </w:rPr>
              <w:tab/>
            </w:r>
          </w:p>
        </w:tc>
        <w:tc>
          <w:tcPr>
            <w:tcW w:w="421" w:type="pct"/>
            <w:vAlign w:val="bottom"/>
          </w:tcPr>
          <w:p w14:paraId="67DD1C20" w14:textId="77777777" w:rsidR="00163EE8" w:rsidRPr="002F3885" w:rsidRDefault="00163EE8" w:rsidP="00C40AA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7</w:t>
            </w:r>
          </w:p>
        </w:tc>
        <w:tc>
          <w:tcPr>
            <w:tcW w:w="792" w:type="pct"/>
            <w:vAlign w:val="bottom"/>
          </w:tcPr>
          <w:p w14:paraId="288CD7AF" w14:textId="77777777" w:rsidR="00163EE8" w:rsidRPr="002F3885" w:rsidRDefault="00127CA8" w:rsidP="00F275F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w:t>
            </w:r>
            <w:r w:rsidR="00F275F6">
              <w:rPr>
                <w:lang w:val="en-US"/>
              </w:rPr>
              <w:t>406</w:t>
            </w:r>
          </w:p>
        </w:tc>
        <w:tc>
          <w:tcPr>
            <w:tcW w:w="730" w:type="pct"/>
            <w:vAlign w:val="bottom"/>
          </w:tcPr>
          <w:p w14:paraId="3E3B292B"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3,486</w:t>
            </w:r>
          </w:p>
        </w:tc>
        <w:tc>
          <w:tcPr>
            <w:tcW w:w="730" w:type="pct"/>
            <w:vAlign w:val="bottom"/>
          </w:tcPr>
          <w:p w14:paraId="7EA7333B" w14:textId="77777777" w:rsidR="00163EE8" w:rsidRDefault="00AF5671"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2,764</w:t>
            </w:r>
          </w:p>
        </w:tc>
      </w:tr>
      <w:tr w:rsidR="00163EE8" w:rsidRPr="002F3885" w14:paraId="1EE6A985" w14:textId="77777777">
        <w:trPr>
          <w:cantSplit/>
          <w:trHeight w:val="257"/>
          <w:jc w:val="center"/>
        </w:trPr>
        <w:tc>
          <w:tcPr>
            <w:tcW w:w="2327" w:type="pct"/>
          </w:tcPr>
          <w:p w14:paraId="1C18058E" w14:textId="77777777" w:rsidR="00163EE8" w:rsidRPr="002F3885" w:rsidRDefault="00163EE8" w:rsidP="002D7268">
            <w:pPr>
              <w:widowControl/>
              <w:tabs>
                <w:tab w:val="right" w:leader="dot" w:pos="3820"/>
              </w:tabs>
              <w:suppressAutoHyphens/>
              <w:ind w:left="200" w:hanging="200"/>
              <w:rPr>
                <w:lang w:val="en-US"/>
              </w:rPr>
            </w:pPr>
          </w:p>
        </w:tc>
        <w:tc>
          <w:tcPr>
            <w:tcW w:w="421" w:type="pct"/>
            <w:vAlign w:val="bottom"/>
          </w:tcPr>
          <w:p w14:paraId="6099D55A" w14:textId="77777777" w:rsidR="00163EE8" w:rsidRPr="002F3885" w:rsidRDefault="00163EE8" w:rsidP="00BC197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089AC374" w14:textId="77777777" w:rsidR="00163EE8" w:rsidRPr="002F3885" w:rsidRDefault="00163EE8"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30" w:type="pct"/>
            <w:vAlign w:val="bottom"/>
          </w:tcPr>
          <w:p w14:paraId="3448DFE1"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30" w:type="pct"/>
            <w:vAlign w:val="bottom"/>
          </w:tcPr>
          <w:p w14:paraId="6AC1910E" w14:textId="77777777" w:rsidR="00163EE8" w:rsidRDefault="00163EE8"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r>
      <w:tr w:rsidR="00163EE8" w:rsidRPr="002F3885" w14:paraId="0ECA4A2A" w14:textId="77777777">
        <w:trPr>
          <w:cantSplit/>
          <w:trHeight w:val="257"/>
          <w:jc w:val="center"/>
        </w:trPr>
        <w:tc>
          <w:tcPr>
            <w:tcW w:w="2327" w:type="pct"/>
          </w:tcPr>
          <w:p w14:paraId="12020838" w14:textId="77777777" w:rsidR="00163EE8" w:rsidRPr="002F3885" w:rsidRDefault="00163EE8" w:rsidP="009D1134">
            <w:pPr>
              <w:widowControl/>
              <w:tabs>
                <w:tab w:val="right" w:leader="dot" w:pos="3820"/>
              </w:tabs>
              <w:suppressAutoHyphens/>
              <w:spacing w:after="20"/>
              <w:ind w:left="200" w:hanging="200"/>
              <w:rPr>
                <w:lang w:val="en-US"/>
              </w:rPr>
            </w:pPr>
            <w:r w:rsidRPr="002F3885">
              <w:rPr>
                <w:b/>
                <w:bCs/>
                <w:lang w:val="en-US"/>
              </w:rPr>
              <w:t>Total liabilities</w:t>
            </w:r>
            <w:r w:rsidRPr="002F3885">
              <w:rPr>
                <w:lang w:val="en-US"/>
              </w:rPr>
              <w:tab/>
            </w:r>
          </w:p>
        </w:tc>
        <w:tc>
          <w:tcPr>
            <w:tcW w:w="421" w:type="pct"/>
            <w:vAlign w:val="bottom"/>
          </w:tcPr>
          <w:p w14:paraId="730208F5"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301E9D2F" w14:textId="77777777" w:rsidR="00163EE8" w:rsidRPr="002F3885" w:rsidRDefault="00127CA8" w:rsidP="00F275F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w:t>
            </w:r>
            <w:r w:rsidR="00F275F6">
              <w:rPr>
                <w:lang w:val="en-US"/>
              </w:rPr>
              <w:t>406</w:t>
            </w:r>
          </w:p>
        </w:tc>
        <w:tc>
          <w:tcPr>
            <w:tcW w:w="730" w:type="pct"/>
            <w:vAlign w:val="bottom"/>
          </w:tcPr>
          <w:p w14:paraId="2180E96B"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3,486</w:t>
            </w:r>
          </w:p>
        </w:tc>
        <w:tc>
          <w:tcPr>
            <w:tcW w:w="730" w:type="pct"/>
            <w:vAlign w:val="bottom"/>
          </w:tcPr>
          <w:p w14:paraId="69878370" w14:textId="77777777" w:rsidR="00163EE8" w:rsidRDefault="00AF5671"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2,764</w:t>
            </w:r>
          </w:p>
        </w:tc>
      </w:tr>
      <w:tr w:rsidR="00163EE8" w:rsidRPr="002F3885" w14:paraId="6E4D8260" w14:textId="77777777">
        <w:trPr>
          <w:cantSplit/>
          <w:trHeight w:val="455"/>
          <w:jc w:val="center"/>
        </w:trPr>
        <w:tc>
          <w:tcPr>
            <w:tcW w:w="2327" w:type="pct"/>
          </w:tcPr>
          <w:p w14:paraId="018BE502" w14:textId="77777777" w:rsidR="00163EE8"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lang w:val="en-US"/>
              </w:rPr>
            </w:pPr>
          </w:p>
          <w:p w14:paraId="6EDD3698"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Equity attributable to equity holders of parent</w:t>
            </w:r>
          </w:p>
        </w:tc>
        <w:tc>
          <w:tcPr>
            <w:tcW w:w="421" w:type="pct"/>
            <w:vAlign w:val="bottom"/>
          </w:tcPr>
          <w:p w14:paraId="37846041"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6C6D665E"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3BFD0C4D"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30" w:type="pct"/>
            <w:vAlign w:val="bottom"/>
          </w:tcPr>
          <w:p w14:paraId="75CDAC07" w14:textId="77777777" w:rsidR="00163EE8" w:rsidRPr="002F3885" w:rsidRDefault="00163EE8"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694802D2" w14:textId="77777777">
        <w:trPr>
          <w:cantSplit/>
          <w:trHeight w:val="226"/>
          <w:jc w:val="center"/>
        </w:trPr>
        <w:tc>
          <w:tcPr>
            <w:tcW w:w="2327" w:type="pct"/>
          </w:tcPr>
          <w:p w14:paraId="2E8F8434" w14:textId="77777777" w:rsidR="00163EE8" w:rsidRPr="002F3885" w:rsidRDefault="00163EE8" w:rsidP="009D1134">
            <w:pPr>
              <w:widowControl/>
              <w:tabs>
                <w:tab w:val="right" w:leader="dot" w:pos="3820"/>
              </w:tabs>
              <w:suppressAutoHyphens/>
              <w:ind w:left="200" w:hanging="200"/>
              <w:rPr>
                <w:lang w:val="en-US"/>
              </w:rPr>
            </w:pPr>
            <w:r w:rsidRPr="002F3885">
              <w:rPr>
                <w:lang w:val="en-US"/>
              </w:rPr>
              <w:t>Share capital</w:t>
            </w:r>
            <w:r w:rsidRPr="002F3885">
              <w:rPr>
                <w:lang w:val="en-US"/>
              </w:rPr>
              <w:tab/>
            </w:r>
          </w:p>
        </w:tc>
        <w:tc>
          <w:tcPr>
            <w:tcW w:w="421" w:type="pct"/>
            <w:vAlign w:val="bottom"/>
          </w:tcPr>
          <w:p w14:paraId="52CF84F3" w14:textId="77777777" w:rsidR="00163EE8" w:rsidRPr="002F3885" w:rsidRDefault="00163EE8" w:rsidP="00C40AA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r>
              <w:rPr>
                <w:lang w:val="en-US"/>
              </w:rPr>
              <w:t>8</w:t>
            </w:r>
          </w:p>
        </w:tc>
        <w:tc>
          <w:tcPr>
            <w:tcW w:w="792" w:type="pct"/>
            <w:vAlign w:val="bottom"/>
          </w:tcPr>
          <w:p w14:paraId="7E2C31BE" w14:textId="77777777" w:rsidR="00163EE8" w:rsidRPr="002F3885" w:rsidRDefault="00127CA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559</w:t>
            </w:r>
          </w:p>
        </w:tc>
        <w:tc>
          <w:tcPr>
            <w:tcW w:w="730" w:type="pct"/>
            <w:vAlign w:val="bottom"/>
          </w:tcPr>
          <w:p w14:paraId="007D5391"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558</w:t>
            </w:r>
          </w:p>
        </w:tc>
        <w:tc>
          <w:tcPr>
            <w:tcW w:w="730" w:type="pct"/>
            <w:vAlign w:val="bottom"/>
          </w:tcPr>
          <w:p w14:paraId="62FB99CC" w14:textId="77777777" w:rsidR="00163EE8" w:rsidRDefault="00AF5671"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559</w:t>
            </w:r>
          </w:p>
        </w:tc>
      </w:tr>
      <w:tr w:rsidR="00163EE8" w:rsidRPr="002F3885" w14:paraId="61045085" w14:textId="77777777">
        <w:trPr>
          <w:cantSplit/>
          <w:trHeight w:val="226"/>
          <w:jc w:val="center"/>
        </w:trPr>
        <w:tc>
          <w:tcPr>
            <w:tcW w:w="2327" w:type="pct"/>
          </w:tcPr>
          <w:p w14:paraId="0AA1242F" w14:textId="77777777" w:rsidR="00163EE8" w:rsidRPr="002F3885" w:rsidRDefault="00163EE8" w:rsidP="009D1134">
            <w:pPr>
              <w:widowControl/>
              <w:tabs>
                <w:tab w:val="right" w:leader="dot" w:pos="3820"/>
              </w:tabs>
              <w:suppressAutoHyphens/>
              <w:ind w:left="200" w:hanging="200"/>
              <w:rPr>
                <w:lang w:val="en-US"/>
              </w:rPr>
            </w:pPr>
            <w:r w:rsidRPr="002F3885">
              <w:rPr>
                <w:lang w:val="en-US"/>
              </w:rPr>
              <w:t>Share premium account</w:t>
            </w:r>
            <w:r w:rsidRPr="002F3885">
              <w:rPr>
                <w:lang w:val="en-US"/>
              </w:rPr>
              <w:tab/>
            </w:r>
          </w:p>
        </w:tc>
        <w:tc>
          <w:tcPr>
            <w:tcW w:w="421" w:type="pct"/>
            <w:vAlign w:val="bottom"/>
          </w:tcPr>
          <w:p w14:paraId="62F5D625" w14:textId="77777777" w:rsidR="00163EE8" w:rsidRPr="002F3885" w:rsidRDefault="00163EE8" w:rsidP="007C3A6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92" w:type="pct"/>
            <w:vAlign w:val="bottom"/>
          </w:tcPr>
          <w:p w14:paraId="0C2536B1" w14:textId="77777777" w:rsidR="00163EE8" w:rsidRPr="002F3885" w:rsidRDefault="00127CA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14,574</w:t>
            </w:r>
          </w:p>
        </w:tc>
        <w:tc>
          <w:tcPr>
            <w:tcW w:w="730" w:type="pct"/>
            <w:vAlign w:val="bottom"/>
          </w:tcPr>
          <w:p w14:paraId="0AAFD156"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14,570</w:t>
            </w:r>
          </w:p>
        </w:tc>
        <w:tc>
          <w:tcPr>
            <w:tcW w:w="730" w:type="pct"/>
            <w:vAlign w:val="bottom"/>
          </w:tcPr>
          <w:p w14:paraId="15FE8A17" w14:textId="77777777" w:rsidR="00163EE8" w:rsidRDefault="00AF5671"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14,574</w:t>
            </w:r>
          </w:p>
        </w:tc>
      </w:tr>
      <w:tr w:rsidR="00163EE8" w:rsidRPr="002F3885" w14:paraId="75F77E3D" w14:textId="77777777">
        <w:trPr>
          <w:cantSplit/>
          <w:trHeight w:val="257"/>
          <w:jc w:val="center"/>
        </w:trPr>
        <w:tc>
          <w:tcPr>
            <w:tcW w:w="2327" w:type="pct"/>
          </w:tcPr>
          <w:p w14:paraId="7D91F90C"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Retained earnings</w:t>
            </w:r>
            <w:r w:rsidRPr="002F3885">
              <w:rPr>
                <w:lang w:val="en-US"/>
              </w:rPr>
              <w:tab/>
            </w:r>
          </w:p>
        </w:tc>
        <w:tc>
          <w:tcPr>
            <w:tcW w:w="421" w:type="pct"/>
            <w:vAlign w:val="bottom"/>
          </w:tcPr>
          <w:p w14:paraId="640C2F6D"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4284625B" w14:textId="77777777" w:rsidR="00163EE8" w:rsidRPr="002F3885" w:rsidRDefault="00127CA8" w:rsidP="00F275F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w:t>
            </w:r>
            <w:r w:rsidR="00F275F6">
              <w:rPr>
                <w:lang w:val="en-US"/>
              </w:rPr>
              <w:t>501</w:t>
            </w:r>
            <w:r>
              <w:rPr>
                <w:lang w:val="en-US"/>
              </w:rPr>
              <w:t>)</w:t>
            </w:r>
          </w:p>
        </w:tc>
        <w:tc>
          <w:tcPr>
            <w:tcW w:w="730" w:type="pct"/>
            <w:vAlign w:val="bottom"/>
          </w:tcPr>
          <w:p w14:paraId="6BBE1D44"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1,732</w:t>
            </w:r>
          </w:p>
        </w:tc>
        <w:tc>
          <w:tcPr>
            <w:tcW w:w="730" w:type="pct"/>
            <w:vAlign w:val="bottom"/>
          </w:tcPr>
          <w:p w14:paraId="77759C3B" w14:textId="77777777" w:rsidR="00163EE8" w:rsidRDefault="00AF5671"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43</w:t>
            </w:r>
          </w:p>
        </w:tc>
      </w:tr>
      <w:tr w:rsidR="00163EE8" w:rsidRPr="002F3885" w14:paraId="44D36251" w14:textId="77777777">
        <w:trPr>
          <w:cantSplit/>
          <w:trHeight w:val="257"/>
          <w:jc w:val="center"/>
        </w:trPr>
        <w:tc>
          <w:tcPr>
            <w:tcW w:w="2327" w:type="pct"/>
          </w:tcPr>
          <w:p w14:paraId="32B2DF46"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rPr>
                <w:lang w:val="en-US"/>
              </w:rPr>
            </w:pPr>
          </w:p>
        </w:tc>
        <w:tc>
          <w:tcPr>
            <w:tcW w:w="421" w:type="pct"/>
            <w:vAlign w:val="bottom"/>
          </w:tcPr>
          <w:p w14:paraId="132C56AD"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92" w:type="pct"/>
            <w:vAlign w:val="bottom"/>
          </w:tcPr>
          <w:p w14:paraId="2705E0F3" w14:textId="77777777" w:rsidR="00163EE8" w:rsidRPr="002F3885" w:rsidRDefault="001C24AB" w:rsidP="00F275F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12,</w:t>
            </w:r>
            <w:r w:rsidR="00F275F6">
              <w:rPr>
                <w:lang w:val="en-US"/>
              </w:rPr>
              <w:t>632</w:t>
            </w:r>
          </w:p>
        </w:tc>
        <w:tc>
          <w:tcPr>
            <w:tcW w:w="730" w:type="pct"/>
            <w:vAlign w:val="bottom"/>
          </w:tcPr>
          <w:p w14:paraId="2793834D"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16,860</w:t>
            </w:r>
          </w:p>
        </w:tc>
        <w:tc>
          <w:tcPr>
            <w:tcW w:w="730" w:type="pct"/>
            <w:vAlign w:val="bottom"/>
          </w:tcPr>
          <w:p w14:paraId="6120DD37" w14:textId="77777777" w:rsidR="00163EE8" w:rsidRDefault="00AF5671"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15,176</w:t>
            </w:r>
          </w:p>
        </w:tc>
      </w:tr>
      <w:tr w:rsidR="00163EE8" w:rsidRPr="002F3885" w14:paraId="6927700B" w14:textId="77777777">
        <w:trPr>
          <w:cantSplit/>
          <w:trHeight w:val="302"/>
          <w:jc w:val="center"/>
        </w:trPr>
        <w:tc>
          <w:tcPr>
            <w:tcW w:w="2327" w:type="pct"/>
          </w:tcPr>
          <w:p w14:paraId="7C6FA75F" w14:textId="77777777" w:rsidR="00163EE8" w:rsidRPr="002F3885" w:rsidRDefault="00163EE8" w:rsidP="009D1134">
            <w:pPr>
              <w:widowControl/>
              <w:tabs>
                <w:tab w:val="right" w:leader="dot" w:pos="3820"/>
              </w:tabs>
              <w:suppressAutoHyphens/>
              <w:spacing w:after="40"/>
              <w:ind w:left="200" w:hanging="200"/>
              <w:rPr>
                <w:lang w:val="en-US"/>
              </w:rPr>
            </w:pPr>
            <w:r w:rsidRPr="002F3885">
              <w:rPr>
                <w:b/>
                <w:bCs/>
                <w:lang w:val="en-US"/>
              </w:rPr>
              <w:t>Total equity and liabilities</w:t>
            </w:r>
            <w:r w:rsidRPr="002F3885">
              <w:rPr>
                <w:lang w:val="en-US"/>
              </w:rPr>
              <w:tab/>
            </w:r>
          </w:p>
        </w:tc>
        <w:tc>
          <w:tcPr>
            <w:tcW w:w="421" w:type="pct"/>
            <w:vAlign w:val="bottom"/>
          </w:tcPr>
          <w:p w14:paraId="6274E191"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b/>
                <w:bCs/>
                <w:lang w:val="en-US"/>
              </w:rPr>
            </w:pPr>
          </w:p>
        </w:tc>
        <w:tc>
          <w:tcPr>
            <w:tcW w:w="792" w:type="pct"/>
            <w:vAlign w:val="bottom"/>
          </w:tcPr>
          <w:p w14:paraId="38FE73D5" w14:textId="77777777" w:rsidR="00163EE8" w:rsidRPr="002F3885" w:rsidRDefault="00127CA8" w:rsidP="001C24A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w:t>
            </w:r>
            <w:r w:rsidR="001C24AB">
              <w:rPr>
                <w:b/>
                <w:bCs/>
                <w:lang w:val="en-US"/>
              </w:rPr>
              <w:t>6,038</w:t>
            </w:r>
          </w:p>
        </w:tc>
        <w:tc>
          <w:tcPr>
            <w:tcW w:w="730" w:type="pct"/>
            <w:vAlign w:val="bottom"/>
          </w:tcPr>
          <w:p w14:paraId="14AE8B66" w14:textId="77777777" w:rsidR="00163EE8" w:rsidRPr="002F3885" w:rsidRDefault="00163EE8"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20,346</w:t>
            </w:r>
          </w:p>
        </w:tc>
        <w:tc>
          <w:tcPr>
            <w:tcW w:w="730" w:type="pct"/>
            <w:vAlign w:val="bottom"/>
          </w:tcPr>
          <w:p w14:paraId="07267371" w14:textId="77777777" w:rsidR="00163EE8" w:rsidRDefault="00AF5671"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17,940</w:t>
            </w:r>
          </w:p>
        </w:tc>
      </w:tr>
    </w:tbl>
    <w:p w14:paraId="29024677"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jc w:val="both"/>
        <w:rPr>
          <w:lang w:val="en-US"/>
        </w:rPr>
      </w:pPr>
    </w:p>
    <w:p w14:paraId="57560F5B" w14:textId="77777777" w:rsidR="00415511" w:rsidRPr="00221793" w:rsidRDefault="009D1134" w:rsidP="00415511">
      <w:pPr>
        <w:keepNext/>
        <w:keepLines/>
        <w:widowControl/>
        <w:tabs>
          <w:tab w:val="left" w:pos="720"/>
          <w:tab w:val="left" w:pos="1440"/>
          <w:tab w:val="center" w:pos="5400"/>
        </w:tabs>
        <w:suppressAutoHyphens/>
        <w:spacing w:after="240"/>
        <w:jc w:val="center"/>
        <w:rPr>
          <w:b/>
          <w:bCs/>
          <w:sz w:val="24"/>
          <w:szCs w:val="24"/>
          <w:lang w:val="en-US"/>
        </w:rPr>
      </w:pPr>
      <w:r>
        <w:rPr>
          <w:lang w:val="en-US"/>
        </w:rPr>
        <w:br w:type="page"/>
      </w:r>
      <w:r w:rsidR="00415511" w:rsidRPr="00221793">
        <w:rPr>
          <w:b/>
          <w:bCs/>
          <w:sz w:val="24"/>
          <w:szCs w:val="24"/>
          <w:lang w:val="en-US"/>
        </w:rPr>
        <w:lastRenderedPageBreak/>
        <w:t>GameAccount Network Plc</w:t>
      </w:r>
    </w:p>
    <w:p w14:paraId="1B9804E1" w14:textId="77777777" w:rsidR="00415511" w:rsidRPr="00221793" w:rsidRDefault="00415511" w:rsidP="00415511">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w:t>
      </w:r>
      <w:r w:rsidR="00163EE8">
        <w:rPr>
          <w:b/>
          <w:bCs/>
          <w:sz w:val="24"/>
          <w:szCs w:val="24"/>
          <w:lang w:val="en-US"/>
        </w:rPr>
        <w:t>30 June 2015</w:t>
      </w:r>
    </w:p>
    <w:p w14:paraId="31FFF804" w14:textId="77777777" w:rsidR="009D1134" w:rsidRPr="00221793" w:rsidRDefault="009D1134" w:rsidP="009D113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Consolidated statement of changes in equity</w:t>
      </w:r>
    </w:p>
    <w:tbl>
      <w:tblPr>
        <w:tblW w:w="5000" w:type="pct"/>
        <w:jc w:val="center"/>
        <w:tblCellMar>
          <w:left w:w="72" w:type="dxa"/>
          <w:right w:w="72" w:type="dxa"/>
        </w:tblCellMar>
        <w:tblLook w:val="0000" w:firstRow="0" w:lastRow="0" w:firstColumn="0" w:lastColumn="0" w:noHBand="0" w:noVBand="0"/>
      </w:tblPr>
      <w:tblGrid>
        <w:gridCol w:w="5856"/>
        <w:gridCol w:w="897"/>
        <w:gridCol w:w="997"/>
        <w:gridCol w:w="997"/>
        <w:gridCol w:w="895"/>
      </w:tblGrid>
      <w:tr w:rsidR="009D1134" w:rsidRPr="002F3885" w14:paraId="6293F7BD" w14:textId="77777777">
        <w:trPr>
          <w:cantSplit/>
          <w:jc w:val="center"/>
        </w:trPr>
        <w:tc>
          <w:tcPr>
            <w:tcW w:w="3037" w:type="pct"/>
            <w:tcBorders>
              <w:top w:val="nil"/>
              <w:left w:val="nil"/>
              <w:bottom w:val="nil"/>
              <w:right w:val="nil"/>
            </w:tcBorders>
            <w:vAlign w:val="bottom"/>
          </w:tcPr>
          <w:p w14:paraId="43DA87D8"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465" w:type="pct"/>
            <w:tcBorders>
              <w:top w:val="nil"/>
              <w:left w:val="nil"/>
              <w:bottom w:val="nil"/>
              <w:right w:val="nil"/>
            </w:tcBorders>
            <w:vAlign w:val="bottom"/>
          </w:tcPr>
          <w:p w14:paraId="319A53DE" w14:textId="77777777" w:rsidR="009D1134" w:rsidRPr="002F3885" w:rsidRDefault="009D1134"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Share</w:t>
            </w:r>
            <w:r w:rsidRPr="002F3885">
              <w:rPr>
                <w:b/>
                <w:bCs/>
                <w:sz w:val="16"/>
                <w:szCs w:val="18"/>
                <w:lang w:val="en-US"/>
              </w:rPr>
              <w:br/>
              <w:t>capital</w:t>
            </w:r>
            <w:r w:rsidRPr="002F3885">
              <w:rPr>
                <w:b/>
                <w:bCs/>
                <w:sz w:val="16"/>
                <w:szCs w:val="18"/>
                <w:lang w:val="en-US"/>
              </w:rPr>
              <w:br/>
            </w:r>
            <w:r>
              <w:rPr>
                <w:b/>
                <w:bCs/>
                <w:sz w:val="16"/>
                <w:szCs w:val="18"/>
                <w:lang w:val="en-US"/>
              </w:rPr>
              <w:t>£’</w:t>
            </w:r>
            <w:r w:rsidRPr="002F3885">
              <w:rPr>
                <w:b/>
                <w:bCs/>
                <w:sz w:val="16"/>
                <w:szCs w:val="18"/>
                <w:lang w:val="en-US"/>
              </w:rPr>
              <w:t>000</w:t>
            </w:r>
          </w:p>
        </w:tc>
        <w:tc>
          <w:tcPr>
            <w:tcW w:w="517" w:type="pct"/>
            <w:tcBorders>
              <w:top w:val="nil"/>
              <w:left w:val="nil"/>
              <w:bottom w:val="nil"/>
              <w:right w:val="nil"/>
            </w:tcBorders>
            <w:vAlign w:val="bottom"/>
          </w:tcPr>
          <w:p w14:paraId="089042CB" w14:textId="77777777" w:rsidR="009D1134" w:rsidRPr="002F3885" w:rsidRDefault="009D1134"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Share</w:t>
            </w:r>
            <w:r w:rsidRPr="002F3885">
              <w:rPr>
                <w:b/>
                <w:bCs/>
                <w:sz w:val="16"/>
                <w:szCs w:val="18"/>
                <w:lang w:val="en-US"/>
              </w:rPr>
              <w:br/>
              <w:t>premium</w:t>
            </w:r>
            <w:r w:rsidRPr="002F3885">
              <w:rPr>
                <w:b/>
                <w:bCs/>
                <w:sz w:val="16"/>
                <w:szCs w:val="18"/>
                <w:lang w:val="en-US"/>
              </w:rPr>
              <w:br/>
            </w:r>
            <w:r>
              <w:rPr>
                <w:b/>
                <w:bCs/>
                <w:sz w:val="16"/>
                <w:szCs w:val="18"/>
                <w:lang w:val="en-US"/>
              </w:rPr>
              <w:t>£’</w:t>
            </w:r>
            <w:r w:rsidRPr="002F3885">
              <w:rPr>
                <w:b/>
                <w:bCs/>
                <w:sz w:val="16"/>
                <w:szCs w:val="18"/>
                <w:lang w:val="en-US"/>
              </w:rPr>
              <w:t>000</w:t>
            </w:r>
          </w:p>
        </w:tc>
        <w:tc>
          <w:tcPr>
            <w:tcW w:w="517" w:type="pct"/>
            <w:tcBorders>
              <w:top w:val="nil"/>
              <w:left w:val="nil"/>
              <w:bottom w:val="nil"/>
              <w:right w:val="nil"/>
            </w:tcBorders>
            <w:vAlign w:val="bottom"/>
          </w:tcPr>
          <w:p w14:paraId="215F22BD" w14:textId="77777777" w:rsidR="009D1134" w:rsidRPr="002F3885" w:rsidRDefault="009D1134"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Retained</w:t>
            </w:r>
            <w:r w:rsidRPr="002F3885">
              <w:rPr>
                <w:b/>
                <w:bCs/>
                <w:sz w:val="16"/>
                <w:szCs w:val="18"/>
                <w:lang w:val="en-US"/>
              </w:rPr>
              <w:br/>
              <w:t>earnings</w:t>
            </w:r>
            <w:r w:rsidRPr="002F3885">
              <w:rPr>
                <w:b/>
                <w:bCs/>
                <w:sz w:val="16"/>
                <w:szCs w:val="18"/>
                <w:lang w:val="en-US"/>
              </w:rPr>
              <w:br/>
            </w:r>
            <w:r>
              <w:rPr>
                <w:b/>
                <w:bCs/>
                <w:sz w:val="16"/>
                <w:szCs w:val="18"/>
                <w:lang w:val="en-US"/>
              </w:rPr>
              <w:t>£’</w:t>
            </w:r>
            <w:r w:rsidRPr="002F3885">
              <w:rPr>
                <w:b/>
                <w:bCs/>
                <w:sz w:val="16"/>
                <w:szCs w:val="18"/>
                <w:lang w:val="en-US"/>
              </w:rPr>
              <w:t>000</w:t>
            </w:r>
          </w:p>
        </w:tc>
        <w:tc>
          <w:tcPr>
            <w:tcW w:w="464" w:type="pct"/>
            <w:tcBorders>
              <w:top w:val="nil"/>
              <w:left w:val="nil"/>
              <w:bottom w:val="nil"/>
              <w:right w:val="nil"/>
            </w:tcBorders>
            <w:vAlign w:val="bottom"/>
          </w:tcPr>
          <w:p w14:paraId="59C480F4" w14:textId="77777777" w:rsidR="009D1134" w:rsidRPr="002F3885" w:rsidRDefault="009D1134"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r w:rsidRPr="002F3885">
              <w:rPr>
                <w:b/>
                <w:bCs/>
                <w:sz w:val="16"/>
                <w:szCs w:val="18"/>
                <w:lang w:val="en-US"/>
              </w:rPr>
              <w:t>Total</w:t>
            </w:r>
            <w:r w:rsidRPr="002F3885">
              <w:rPr>
                <w:b/>
                <w:bCs/>
                <w:sz w:val="16"/>
                <w:szCs w:val="18"/>
                <w:lang w:val="en-US"/>
              </w:rPr>
              <w:br/>
              <w:t>equity</w:t>
            </w:r>
            <w:r w:rsidRPr="002F3885">
              <w:rPr>
                <w:b/>
                <w:bCs/>
                <w:sz w:val="16"/>
                <w:szCs w:val="18"/>
                <w:lang w:val="en-US"/>
              </w:rPr>
              <w:br/>
            </w:r>
            <w:r>
              <w:rPr>
                <w:b/>
                <w:bCs/>
                <w:sz w:val="16"/>
                <w:szCs w:val="18"/>
                <w:lang w:val="en-US"/>
              </w:rPr>
              <w:t>£’</w:t>
            </w:r>
            <w:r w:rsidRPr="002F3885">
              <w:rPr>
                <w:b/>
                <w:bCs/>
                <w:sz w:val="16"/>
                <w:szCs w:val="18"/>
                <w:lang w:val="en-US"/>
              </w:rPr>
              <w:t>000</w:t>
            </w:r>
          </w:p>
        </w:tc>
      </w:tr>
      <w:tr w:rsidR="00625949" w:rsidRPr="002F3885" w14:paraId="6A08B998" w14:textId="77777777">
        <w:trPr>
          <w:cantSplit/>
          <w:jc w:val="center"/>
        </w:trPr>
        <w:tc>
          <w:tcPr>
            <w:tcW w:w="3037" w:type="pct"/>
            <w:tcBorders>
              <w:top w:val="nil"/>
              <w:left w:val="nil"/>
              <w:bottom w:val="nil"/>
              <w:right w:val="nil"/>
            </w:tcBorders>
          </w:tcPr>
          <w:p w14:paraId="61940B77" w14:textId="77777777" w:rsidR="00625949" w:rsidRPr="002F3885" w:rsidRDefault="00625949" w:rsidP="00625949">
            <w:pPr>
              <w:widowControl/>
              <w:tabs>
                <w:tab w:val="right" w:leader="dot" w:pos="5860"/>
              </w:tabs>
              <w:suppressAutoHyphens/>
              <w:ind w:left="200" w:hanging="200"/>
              <w:rPr>
                <w:lang w:val="en-US"/>
              </w:rPr>
            </w:pPr>
            <w:r w:rsidRPr="002F3885">
              <w:rPr>
                <w:b/>
                <w:bCs/>
                <w:lang w:val="en-US"/>
              </w:rPr>
              <w:t xml:space="preserve">At </w:t>
            </w:r>
            <w:r>
              <w:rPr>
                <w:b/>
                <w:bCs/>
                <w:lang w:val="en-US"/>
              </w:rPr>
              <w:t>1 January</w:t>
            </w:r>
            <w:r w:rsidRPr="002F3885">
              <w:rPr>
                <w:b/>
                <w:bCs/>
                <w:lang w:val="en-US"/>
              </w:rPr>
              <w:t xml:space="preserve"> 201</w:t>
            </w:r>
            <w:r>
              <w:rPr>
                <w:b/>
                <w:bCs/>
                <w:lang w:val="en-US"/>
              </w:rPr>
              <w:t>4</w:t>
            </w:r>
            <w:r w:rsidRPr="002F3885">
              <w:rPr>
                <w:lang w:val="en-US"/>
              </w:rPr>
              <w:tab/>
            </w:r>
          </w:p>
        </w:tc>
        <w:tc>
          <w:tcPr>
            <w:tcW w:w="465" w:type="pct"/>
            <w:tcBorders>
              <w:top w:val="nil"/>
              <w:left w:val="nil"/>
              <w:bottom w:val="nil"/>
              <w:right w:val="nil"/>
            </w:tcBorders>
            <w:vAlign w:val="bottom"/>
          </w:tcPr>
          <w:p w14:paraId="0788AD19"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557</w:t>
            </w:r>
          </w:p>
        </w:tc>
        <w:tc>
          <w:tcPr>
            <w:tcW w:w="517" w:type="pct"/>
            <w:tcBorders>
              <w:top w:val="nil"/>
              <w:left w:val="nil"/>
              <w:bottom w:val="nil"/>
              <w:right w:val="nil"/>
            </w:tcBorders>
            <w:vAlign w:val="bottom"/>
          </w:tcPr>
          <w:p w14:paraId="21655BE5"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14,528</w:t>
            </w:r>
          </w:p>
        </w:tc>
        <w:tc>
          <w:tcPr>
            <w:tcW w:w="517" w:type="pct"/>
            <w:tcBorders>
              <w:top w:val="nil"/>
              <w:left w:val="nil"/>
              <w:bottom w:val="nil"/>
              <w:right w:val="nil"/>
            </w:tcBorders>
            <w:vAlign w:val="bottom"/>
          </w:tcPr>
          <w:p w14:paraId="4883226E"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2,605</w:t>
            </w:r>
          </w:p>
        </w:tc>
        <w:tc>
          <w:tcPr>
            <w:tcW w:w="464" w:type="pct"/>
            <w:tcBorders>
              <w:top w:val="nil"/>
              <w:left w:val="nil"/>
              <w:bottom w:val="nil"/>
              <w:right w:val="nil"/>
            </w:tcBorders>
            <w:vAlign w:val="bottom"/>
          </w:tcPr>
          <w:p w14:paraId="69CC9F50" w14:textId="77777777" w:rsidR="00625949" w:rsidRPr="002B381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sidRPr="002B3815">
              <w:rPr>
                <w:b/>
                <w:lang w:val="en-US"/>
              </w:rPr>
              <w:t>17,690</w:t>
            </w:r>
          </w:p>
        </w:tc>
      </w:tr>
      <w:tr w:rsidR="00625949" w:rsidRPr="002F3885" w14:paraId="5A48AB2E" w14:textId="77777777" w:rsidTr="009E7D9B">
        <w:trPr>
          <w:cantSplit/>
          <w:jc w:val="center"/>
        </w:trPr>
        <w:tc>
          <w:tcPr>
            <w:tcW w:w="3037" w:type="pct"/>
            <w:tcBorders>
              <w:top w:val="nil"/>
              <w:left w:val="nil"/>
              <w:bottom w:val="nil"/>
              <w:right w:val="nil"/>
            </w:tcBorders>
          </w:tcPr>
          <w:p w14:paraId="6BC4EDE2" w14:textId="77777777" w:rsidR="00625949" w:rsidRPr="002F3885" w:rsidRDefault="00D11DC2" w:rsidP="009E7D9B">
            <w:pPr>
              <w:widowControl/>
              <w:tabs>
                <w:tab w:val="right" w:leader="dot" w:pos="5860"/>
              </w:tabs>
              <w:suppressAutoHyphens/>
              <w:ind w:left="200" w:hanging="200"/>
              <w:rPr>
                <w:lang w:val="en-US"/>
              </w:rPr>
            </w:pPr>
            <w:r>
              <w:rPr>
                <w:lang w:val="en-US"/>
              </w:rPr>
              <w:t>Loss</w:t>
            </w:r>
            <w:r w:rsidR="00625949">
              <w:rPr>
                <w:lang w:val="en-US"/>
              </w:rPr>
              <w:t xml:space="preserve"> and t</w:t>
            </w:r>
            <w:r w:rsidR="00625949" w:rsidRPr="002F3885">
              <w:rPr>
                <w:lang w:val="en-US"/>
              </w:rPr>
              <w:t xml:space="preserve">otal comprehensive income for the </w:t>
            </w:r>
            <w:r w:rsidR="00625949">
              <w:rPr>
                <w:lang w:val="en-US"/>
              </w:rPr>
              <w:t>period</w:t>
            </w:r>
            <w:r w:rsidR="00625949" w:rsidRPr="002F3885">
              <w:rPr>
                <w:lang w:val="en-US"/>
              </w:rPr>
              <w:tab/>
            </w:r>
          </w:p>
        </w:tc>
        <w:tc>
          <w:tcPr>
            <w:tcW w:w="465" w:type="pct"/>
            <w:tcBorders>
              <w:top w:val="nil"/>
              <w:left w:val="nil"/>
              <w:bottom w:val="nil"/>
              <w:right w:val="nil"/>
            </w:tcBorders>
          </w:tcPr>
          <w:p w14:paraId="7CE6E5FE" w14:textId="77777777" w:rsidR="00625949" w:rsidRDefault="00DF510D" w:rsidP="00625949">
            <w:pPr>
              <w:jc w:val="right"/>
            </w:pPr>
            <w:r>
              <w:rPr>
                <w:lang w:val="en-US"/>
              </w:rPr>
              <w:t>-</w:t>
            </w:r>
          </w:p>
        </w:tc>
        <w:tc>
          <w:tcPr>
            <w:tcW w:w="517" w:type="pct"/>
            <w:tcBorders>
              <w:top w:val="nil"/>
              <w:left w:val="nil"/>
              <w:bottom w:val="nil"/>
              <w:right w:val="nil"/>
            </w:tcBorders>
          </w:tcPr>
          <w:p w14:paraId="41123AE2" w14:textId="77777777" w:rsidR="00625949" w:rsidRDefault="00DF510D" w:rsidP="00625949">
            <w:pPr>
              <w:jc w:val="right"/>
            </w:pPr>
            <w:r>
              <w:rPr>
                <w:lang w:val="en-US"/>
              </w:rPr>
              <w:t>-</w:t>
            </w:r>
          </w:p>
        </w:tc>
        <w:tc>
          <w:tcPr>
            <w:tcW w:w="517" w:type="pct"/>
            <w:tcBorders>
              <w:top w:val="nil"/>
              <w:left w:val="nil"/>
              <w:bottom w:val="nil"/>
              <w:right w:val="nil"/>
            </w:tcBorders>
            <w:vAlign w:val="bottom"/>
          </w:tcPr>
          <w:p w14:paraId="7369C272" w14:textId="77777777" w:rsidR="00625949" w:rsidRPr="004D0312"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4D0312">
              <w:rPr>
                <w:lang w:val="en-US"/>
              </w:rPr>
              <w:t>(908)</w:t>
            </w:r>
          </w:p>
        </w:tc>
        <w:tc>
          <w:tcPr>
            <w:tcW w:w="464" w:type="pct"/>
            <w:tcBorders>
              <w:top w:val="nil"/>
              <w:left w:val="nil"/>
              <w:bottom w:val="nil"/>
              <w:right w:val="nil"/>
            </w:tcBorders>
            <w:vAlign w:val="bottom"/>
          </w:tcPr>
          <w:p w14:paraId="3B558128" w14:textId="77777777" w:rsidR="00625949" w:rsidRPr="004D0312"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4D0312">
              <w:rPr>
                <w:lang w:val="en-US"/>
              </w:rPr>
              <w:t>(908)</w:t>
            </w:r>
          </w:p>
        </w:tc>
      </w:tr>
      <w:tr w:rsidR="00625949" w:rsidRPr="002F3885" w14:paraId="1B9ED985" w14:textId="77777777" w:rsidTr="009E7D9B">
        <w:trPr>
          <w:cantSplit/>
          <w:jc w:val="center"/>
        </w:trPr>
        <w:tc>
          <w:tcPr>
            <w:tcW w:w="3037" w:type="pct"/>
            <w:tcBorders>
              <w:top w:val="nil"/>
              <w:left w:val="nil"/>
              <w:bottom w:val="nil"/>
              <w:right w:val="nil"/>
            </w:tcBorders>
          </w:tcPr>
          <w:p w14:paraId="30DBE0C6" w14:textId="77777777" w:rsidR="00625949" w:rsidRPr="002F3885" w:rsidRDefault="00625949" w:rsidP="009E7D9B">
            <w:pPr>
              <w:widowControl/>
              <w:tabs>
                <w:tab w:val="right" w:leader="dot" w:pos="5860"/>
              </w:tabs>
              <w:suppressAutoHyphens/>
              <w:ind w:left="200" w:hanging="200"/>
              <w:rPr>
                <w:lang w:val="en-US"/>
              </w:rPr>
            </w:pPr>
            <w:r w:rsidRPr="002F3885">
              <w:rPr>
                <w:lang w:val="en-US"/>
              </w:rPr>
              <w:t>Employee share</w:t>
            </w:r>
            <w:r w:rsidRPr="002F3885">
              <w:rPr>
                <w:lang w:val="en-US"/>
              </w:rPr>
              <w:noBreakHyphen/>
              <w:t>based payment charge</w:t>
            </w:r>
            <w:r w:rsidRPr="002F3885">
              <w:rPr>
                <w:lang w:val="en-US"/>
              </w:rPr>
              <w:tab/>
            </w:r>
          </w:p>
        </w:tc>
        <w:tc>
          <w:tcPr>
            <w:tcW w:w="465" w:type="pct"/>
            <w:tcBorders>
              <w:top w:val="nil"/>
              <w:left w:val="nil"/>
              <w:bottom w:val="nil"/>
              <w:right w:val="nil"/>
            </w:tcBorders>
          </w:tcPr>
          <w:p w14:paraId="7E4AD654" w14:textId="77777777" w:rsidR="00625949" w:rsidRDefault="00DF510D" w:rsidP="00625949">
            <w:pPr>
              <w:jc w:val="right"/>
            </w:pPr>
            <w:r>
              <w:rPr>
                <w:lang w:val="en-US"/>
              </w:rPr>
              <w:t>-</w:t>
            </w:r>
          </w:p>
        </w:tc>
        <w:tc>
          <w:tcPr>
            <w:tcW w:w="517" w:type="pct"/>
            <w:tcBorders>
              <w:top w:val="nil"/>
              <w:left w:val="nil"/>
              <w:bottom w:val="nil"/>
              <w:right w:val="nil"/>
            </w:tcBorders>
          </w:tcPr>
          <w:p w14:paraId="180D62E2" w14:textId="77777777" w:rsidR="00625949" w:rsidRDefault="00DF510D" w:rsidP="00625949">
            <w:pPr>
              <w:jc w:val="right"/>
            </w:pPr>
            <w:r>
              <w:rPr>
                <w:lang w:val="en-US"/>
              </w:rPr>
              <w:t>-</w:t>
            </w:r>
          </w:p>
        </w:tc>
        <w:tc>
          <w:tcPr>
            <w:tcW w:w="517" w:type="pct"/>
            <w:tcBorders>
              <w:top w:val="nil"/>
              <w:left w:val="nil"/>
              <w:bottom w:val="nil"/>
              <w:right w:val="nil"/>
            </w:tcBorders>
            <w:vAlign w:val="bottom"/>
          </w:tcPr>
          <w:p w14:paraId="54973012"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35</w:t>
            </w:r>
          </w:p>
        </w:tc>
        <w:tc>
          <w:tcPr>
            <w:tcW w:w="464" w:type="pct"/>
            <w:tcBorders>
              <w:top w:val="nil"/>
              <w:left w:val="nil"/>
              <w:bottom w:val="nil"/>
              <w:right w:val="nil"/>
            </w:tcBorders>
            <w:vAlign w:val="bottom"/>
          </w:tcPr>
          <w:p w14:paraId="471C16AE"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35</w:t>
            </w:r>
          </w:p>
        </w:tc>
      </w:tr>
      <w:tr w:rsidR="00B17DA0" w:rsidRPr="002F3885" w14:paraId="761BE85F" w14:textId="77777777">
        <w:trPr>
          <w:cantSplit/>
          <w:jc w:val="center"/>
        </w:trPr>
        <w:tc>
          <w:tcPr>
            <w:tcW w:w="3037" w:type="pct"/>
            <w:tcBorders>
              <w:top w:val="nil"/>
              <w:left w:val="nil"/>
              <w:bottom w:val="nil"/>
              <w:right w:val="nil"/>
            </w:tcBorders>
          </w:tcPr>
          <w:p w14:paraId="380B81A8" w14:textId="77777777" w:rsidR="00B17DA0" w:rsidRPr="002F3885" w:rsidRDefault="00625949" w:rsidP="00EE413E">
            <w:pPr>
              <w:widowControl/>
              <w:tabs>
                <w:tab w:val="right" w:leader="dot" w:pos="5860"/>
              </w:tabs>
              <w:suppressAutoHyphens/>
              <w:spacing w:after="20"/>
              <w:ind w:left="200" w:hanging="200"/>
              <w:rPr>
                <w:lang w:val="en-US"/>
              </w:rPr>
            </w:pPr>
            <w:r>
              <w:rPr>
                <w:lang w:val="en-US"/>
              </w:rPr>
              <w:t>Issue of equity share capital</w:t>
            </w:r>
            <w:r w:rsidR="00B17DA0" w:rsidRPr="002F3885">
              <w:rPr>
                <w:lang w:val="en-US"/>
              </w:rPr>
              <w:tab/>
            </w:r>
          </w:p>
        </w:tc>
        <w:tc>
          <w:tcPr>
            <w:tcW w:w="465" w:type="pct"/>
            <w:tcBorders>
              <w:top w:val="nil"/>
              <w:left w:val="nil"/>
              <w:bottom w:val="nil"/>
              <w:right w:val="nil"/>
            </w:tcBorders>
            <w:vAlign w:val="bottom"/>
          </w:tcPr>
          <w:p w14:paraId="2C79E8AB" w14:textId="77777777" w:rsidR="00B17DA0" w:rsidRPr="002F3885" w:rsidRDefault="00625949"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w:t>
            </w:r>
          </w:p>
        </w:tc>
        <w:tc>
          <w:tcPr>
            <w:tcW w:w="517" w:type="pct"/>
            <w:tcBorders>
              <w:top w:val="nil"/>
              <w:left w:val="nil"/>
              <w:bottom w:val="nil"/>
              <w:right w:val="nil"/>
            </w:tcBorders>
            <w:vAlign w:val="bottom"/>
          </w:tcPr>
          <w:p w14:paraId="5BDFAB68" w14:textId="77777777" w:rsidR="00B17DA0" w:rsidRPr="002F3885" w:rsidRDefault="00625949"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42</w:t>
            </w:r>
          </w:p>
        </w:tc>
        <w:tc>
          <w:tcPr>
            <w:tcW w:w="517" w:type="pct"/>
            <w:tcBorders>
              <w:top w:val="nil"/>
              <w:left w:val="nil"/>
              <w:bottom w:val="nil"/>
              <w:right w:val="nil"/>
            </w:tcBorders>
            <w:vAlign w:val="bottom"/>
          </w:tcPr>
          <w:p w14:paraId="2EBF92F8" w14:textId="77777777" w:rsidR="00B17DA0" w:rsidRPr="002F3885" w:rsidRDefault="00DF510D"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464" w:type="pct"/>
            <w:tcBorders>
              <w:top w:val="nil"/>
              <w:left w:val="nil"/>
              <w:bottom w:val="nil"/>
              <w:right w:val="nil"/>
            </w:tcBorders>
            <w:vAlign w:val="bottom"/>
          </w:tcPr>
          <w:p w14:paraId="0675F3F0" w14:textId="77777777" w:rsidR="00B17DA0" w:rsidRPr="002F3885" w:rsidRDefault="00625949" w:rsidP="00F74E3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43</w:t>
            </w:r>
          </w:p>
        </w:tc>
      </w:tr>
      <w:tr w:rsidR="00B17DA0" w:rsidRPr="002F3885" w14:paraId="5D6E5D6E" w14:textId="77777777">
        <w:trPr>
          <w:cantSplit/>
          <w:jc w:val="center"/>
        </w:trPr>
        <w:tc>
          <w:tcPr>
            <w:tcW w:w="3037" w:type="pct"/>
            <w:tcBorders>
              <w:top w:val="nil"/>
              <w:left w:val="nil"/>
              <w:bottom w:val="nil"/>
              <w:right w:val="nil"/>
            </w:tcBorders>
          </w:tcPr>
          <w:p w14:paraId="27AE6878" w14:textId="77777777" w:rsidR="00B17DA0" w:rsidRPr="002F3885" w:rsidRDefault="00B17DA0" w:rsidP="00625949">
            <w:pPr>
              <w:widowControl/>
              <w:tabs>
                <w:tab w:val="right" w:leader="dot" w:pos="5860"/>
              </w:tabs>
              <w:suppressAutoHyphens/>
              <w:ind w:left="200" w:hanging="200"/>
              <w:rPr>
                <w:lang w:val="en-US"/>
              </w:rPr>
            </w:pPr>
            <w:r>
              <w:rPr>
                <w:b/>
                <w:bCs/>
                <w:lang w:val="en-US"/>
              </w:rPr>
              <w:t>At 30 June 201</w:t>
            </w:r>
            <w:r w:rsidR="00625949">
              <w:rPr>
                <w:b/>
                <w:bCs/>
                <w:lang w:val="en-US"/>
              </w:rPr>
              <w:t>4</w:t>
            </w:r>
            <w:r w:rsidR="00D11DC2">
              <w:rPr>
                <w:b/>
                <w:bCs/>
                <w:lang w:val="en-US"/>
              </w:rPr>
              <w:t xml:space="preserve"> </w:t>
            </w:r>
            <w:r w:rsidR="00575968">
              <w:rPr>
                <w:b/>
                <w:bCs/>
                <w:lang w:val="en-US"/>
              </w:rPr>
              <w:t>(Unaudited)</w:t>
            </w:r>
            <w:r w:rsidRPr="002F3885">
              <w:rPr>
                <w:lang w:val="en-US"/>
              </w:rPr>
              <w:tab/>
            </w:r>
          </w:p>
        </w:tc>
        <w:tc>
          <w:tcPr>
            <w:tcW w:w="465" w:type="pct"/>
            <w:tcBorders>
              <w:top w:val="nil"/>
              <w:left w:val="nil"/>
              <w:bottom w:val="nil"/>
              <w:right w:val="nil"/>
            </w:tcBorders>
            <w:vAlign w:val="bottom"/>
          </w:tcPr>
          <w:p w14:paraId="68EA830E" w14:textId="77777777" w:rsidR="00B17DA0" w:rsidRPr="002F3885" w:rsidRDefault="00625949" w:rsidP="00EE41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558</w:t>
            </w:r>
          </w:p>
        </w:tc>
        <w:tc>
          <w:tcPr>
            <w:tcW w:w="517" w:type="pct"/>
            <w:tcBorders>
              <w:top w:val="nil"/>
              <w:left w:val="nil"/>
              <w:bottom w:val="nil"/>
              <w:right w:val="nil"/>
            </w:tcBorders>
            <w:vAlign w:val="bottom"/>
          </w:tcPr>
          <w:p w14:paraId="07B2AA86" w14:textId="77777777" w:rsidR="00B17DA0" w:rsidRPr="002F3885" w:rsidRDefault="00625949" w:rsidP="00EE41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14,570</w:t>
            </w:r>
          </w:p>
        </w:tc>
        <w:tc>
          <w:tcPr>
            <w:tcW w:w="517" w:type="pct"/>
            <w:tcBorders>
              <w:top w:val="nil"/>
              <w:left w:val="nil"/>
              <w:bottom w:val="nil"/>
              <w:right w:val="nil"/>
            </w:tcBorders>
            <w:vAlign w:val="bottom"/>
          </w:tcPr>
          <w:p w14:paraId="6C448283" w14:textId="77777777" w:rsidR="00B17DA0" w:rsidRPr="002F3885" w:rsidRDefault="00625949" w:rsidP="00D444B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1,732</w:t>
            </w:r>
          </w:p>
        </w:tc>
        <w:tc>
          <w:tcPr>
            <w:tcW w:w="464" w:type="pct"/>
            <w:tcBorders>
              <w:top w:val="nil"/>
              <w:left w:val="nil"/>
              <w:bottom w:val="nil"/>
              <w:right w:val="nil"/>
            </w:tcBorders>
            <w:vAlign w:val="bottom"/>
          </w:tcPr>
          <w:p w14:paraId="1B4FBF66" w14:textId="77777777" w:rsidR="00B17DA0" w:rsidRPr="002B3815" w:rsidRDefault="00625949" w:rsidP="009C19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Pr>
                <w:b/>
                <w:lang w:val="en-US"/>
              </w:rPr>
              <w:t>16,860</w:t>
            </w:r>
          </w:p>
        </w:tc>
      </w:tr>
      <w:tr w:rsidR="00B17DA0" w:rsidRPr="002F3885" w14:paraId="07E82869" w14:textId="77777777">
        <w:trPr>
          <w:cantSplit/>
          <w:jc w:val="center"/>
        </w:trPr>
        <w:tc>
          <w:tcPr>
            <w:tcW w:w="3037" w:type="pct"/>
            <w:tcBorders>
              <w:top w:val="nil"/>
              <w:left w:val="nil"/>
              <w:bottom w:val="nil"/>
              <w:right w:val="nil"/>
            </w:tcBorders>
          </w:tcPr>
          <w:p w14:paraId="6E0339B2" w14:textId="77777777" w:rsidR="00B17DA0" w:rsidRPr="002F3885" w:rsidRDefault="00D11DC2" w:rsidP="00EE413E">
            <w:pPr>
              <w:widowControl/>
              <w:tabs>
                <w:tab w:val="right" w:leader="dot" w:pos="5860"/>
              </w:tabs>
              <w:suppressAutoHyphens/>
              <w:ind w:left="200" w:hanging="200"/>
              <w:rPr>
                <w:lang w:val="en-US"/>
              </w:rPr>
            </w:pPr>
            <w:r>
              <w:rPr>
                <w:lang w:val="en-US"/>
              </w:rPr>
              <w:t>Loss</w:t>
            </w:r>
            <w:r w:rsidR="00B17DA0">
              <w:rPr>
                <w:lang w:val="en-US"/>
              </w:rPr>
              <w:t xml:space="preserve"> and t</w:t>
            </w:r>
            <w:r w:rsidR="00B17DA0" w:rsidRPr="002F3885">
              <w:rPr>
                <w:lang w:val="en-US"/>
              </w:rPr>
              <w:t xml:space="preserve">otal comprehensive income for the </w:t>
            </w:r>
            <w:r w:rsidR="00B17DA0">
              <w:rPr>
                <w:lang w:val="en-US"/>
              </w:rPr>
              <w:t>period</w:t>
            </w:r>
            <w:r w:rsidR="00B17DA0" w:rsidRPr="002F3885">
              <w:rPr>
                <w:lang w:val="en-US"/>
              </w:rPr>
              <w:tab/>
            </w:r>
          </w:p>
        </w:tc>
        <w:tc>
          <w:tcPr>
            <w:tcW w:w="465" w:type="pct"/>
            <w:tcBorders>
              <w:top w:val="nil"/>
              <w:left w:val="nil"/>
              <w:bottom w:val="nil"/>
              <w:right w:val="nil"/>
            </w:tcBorders>
            <w:vAlign w:val="bottom"/>
          </w:tcPr>
          <w:p w14:paraId="0CC961B8" w14:textId="77777777" w:rsidR="00B17DA0" w:rsidRPr="002F3885" w:rsidRDefault="00DF510D" w:rsidP="00EE41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517" w:type="pct"/>
            <w:tcBorders>
              <w:top w:val="nil"/>
              <w:left w:val="nil"/>
              <w:bottom w:val="nil"/>
              <w:right w:val="nil"/>
            </w:tcBorders>
            <w:vAlign w:val="bottom"/>
          </w:tcPr>
          <w:p w14:paraId="24B693A8" w14:textId="77777777" w:rsidR="00B17DA0" w:rsidRPr="002F3885" w:rsidRDefault="00DF510D" w:rsidP="00EE413E">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517" w:type="pct"/>
            <w:tcBorders>
              <w:top w:val="nil"/>
              <w:left w:val="nil"/>
              <w:bottom w:val="nil"/>
              <w:right w:val="nil"/>
            </w:tcBorders>
            <w:vAlign w:val="bottom"/>
          </w:tcPr>
          <w:p w14:paraId="0B4B5645" w14:textId="77777777" w:rsidR="00B17DA0" w:rsidRPr="002F3885" w:rsidRDefault="00B17DA0" w:rsidP="0062594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r w:rsidR="00625949">
              <w:rPr>
                <w:lang w:val="en-US"/>
              </w:rPr>
              <w:t>1,694</w:t>
            </w:r>
            <w:r>
              <w:rPr>
                <w:lang w:val="en-US"/>
              </w:rPr>
              <w:t>)</w:t>
            </w:r>
          </w:p>
        </w:tc>
        <w:tc>
          <w:tcPr>
            <w:tcW w:w="464" w:type="pct"/>
            <w:tcBorders>
              <w:top w:val="nil"/>
              <w:left w:val="nil"/>
              <w:bottom w:val="nil"/>
              <w:right w:val="nil"/>
            </w:tcBorders>
            <w:vAlign w:val="bottom"/>
          </w:tcPr>
          <w:p w14:paraId="64395E6B" w14:textId="77777777" w:rsidR="00B17DA0" w:rsidRPr="002F3885" w:rsidRDefault="00B17DA0" w:rsidP="0062594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r w:rsidR="00625949">
              <w:rPr>
                <w:lang w:val="en-US"/>
              </w:rPr>
              <w:t>1,694</w:t>
            </w:r>
            <w:r>
              <w:rPr>
                <w:lang w:val="en-US"/>
              </w:rPr>
              <w:t>)</w:t>
            </w:r>
          </w:p>
        </w:tc>
      </w:tr>
      <w:tr w:rsidR="00B17DA0" w:rsidRPr="002F3885" w14:paraId="666D0318" w14:textId="77777777">
        <w:trPr>
          <w:cantSplit/>
          <w:jc w:val="center"/>
        </w:trPr>
        <w:tc>
          <w:tcPr>
            <w:tcW w:w="3037" w:type="pct"/>
            <w:tcBorders>
              <w:top w:val="nil"/>
              <w:left w:val="nil"/>
              <w:bottom w:val="nil"/>
              <w:right w:val="nil"/>
            </w:tcBorders>
          </w:tcPr>
          <w:p w14:paraId="7062E915" w14:textId="77777777" w:rsidR="00B17DA0" w:rsidRPr="002F3885" w:rsidRDefault="00B17DA0" w:rsidP="00523EEF">
            <w:pPr>
              <w:widowControl/>
              <w:tabs>
                <w:tab w:val="right" w:leader="dot" w:pos="5860"/>
              </w:tabs>
              <w:suppressAutoHyphens/>
              <w:ind w:left="200" w:hanging="200"/>
              <w:rPr>
                <w:lang w:val="en-US"/>
              </w:rPr>
            </w:pPr>
            <w:r w:rsidRPr="002F3885">
              <w:rPr>
                <w:lang w:val="en-US"/>
              </w:rPr>
              <w:t>Employee share</w:t>
            </w:r>
            <w:r w:rsidRPr="002F3885">
              <w:rPr>
                <w:lang w:val="en-US"/>
              </w:rPr>
              <w:noBreakHyphen/>
              <w:t>based payment charge</w:t>
            </w:r>
            <w:r w:rsidRPr="002F3885">
              <w:rPr>
                <w:lang w:val="en-US"/>
              </w:rPr>
              <w:tab/>
            </w:r>
          </w:p>
        </w:tc>
        <w:tc>
          <w:tcPr>
            <w:tcW w:w="465" w:type="pct"/>
            <w:tcBorders>
              <w:top w:val="nil"/>
              <w:left w:val="nil"/>
              <w:bottom w:val="nil"/>
              <w:right w:val="nil"/>
            </w:tcBorders>
            <w:vAlign w:val="bottom"/>
          </w:tcPr>
          <w:p w14:paraId="1D94B986" w14:textId="77777777" w:rsidR="00B17DA0" w:rsidRPr="002F3885" w:rsidRDefault="00DF510D" w:rsidP="00523E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517" w:type="pct"/>
            <w:tcBorders>
              <w:top w:val="nil"/>
              <w:left w:val="nil"/>
              <w:bottom w:val="nil"/>
              <w:right w:val="nil"/>
            </w:tcBorders>
            <w:vAlign w:val="bottom"/>
          </w:tcPr>
          <w:p w14:paraId="6D9E1CEC" w14:textId="77777777" w:rsidR="00B17DA0" w:rsidRPr="002F3885" w:rsidRDefault="00DF510D" w:rsidP="00523E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517" w:type="pct"/>
            <w:tcBorders>
              <w:top w:val="nil"/>
              <w:left w:val="nil"/>
              <w:bottom w:val="nil"/>
              <w:right w:val="nil"/>
            </w:tcBorders>
            <w:vAlign w:val="bottom"/>
          </w:tcPr>
          <w:p w14:paraId="65C8825E" w14:textId="77777777" w:rsidR="00B17DA0" w:rsidRPr="002F3885" w:rsidRDefault="00625949" w:rsidP="00523EE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w:t>
            </w:r>
          </w:p>
        </w:tc>
        <w:tc>
          <w:tcPr>
            <w:tcW w:w="464" w:type="pct"/>
            <w:tcBorders>
              <w:top w:val="nil"/>
              <w:left w:val="nil"/>
              <w:bottom w:val="nil"/>
              <w:right w:val="nil"/>
            </w:tcBorders>
            <w:vAlign w:val="bottom"/>
          </w:tcPr>
          <w:p w14:paraId="583E3B12" w14:textId="77777777" w:rsidR="00B17DA0" w:rsidRPr="002F3885" w:rsidRDefault="00B17DA0" w:rsidP="0062594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2F3885">
              <w:rPr>
                <w:lang w:val="en-US"/>
              </w:rPr>
              <w:t>5</w:t>
            </w:r>
          </w:p>
        </w:tc>
      </w:tr>
      <w:tr w:rsidR="00625949" w:rsidRPr="002F3885" w14:paraId="2374B4B4" w14:textId="77777777" w:rsidTr="009E7D9B">
        <w:trPr>
          <w:cantSplit/>
          <w:jc w:val="center"/>
        </w:trPr>
        <w:tc>
          <w:tcPr>
            <w:tcW w:w="3037" w:type="pct"/>
            <w:tcBorders>
              <w:top w:val="nil"/>
              <w:left w:val="nil"/>
              <w:bottom w:val="nil"/>
              <w:right w:val="nil"/>
            </w:tcBorders>
          </w:tcPr>
          <w:p w14:paraId="7F1C9C96" w14:textId="77777777" w:rsidR="00625949" w:rsidRPr="002F3885" w:rsidRDefault="00625949" w:rsidP="009E7D9B">
            <w:pPr>
              <w:widowControl/>
              <w:tabs>
                <w:tab w:val="right" w:leader="dot" w:pos="5860"/>
              </w:tabs>
              <w:suppressAutoHyphens/>
              <w:spacing w:after="20"/>
              <w:ind w:left="200" w:hanging="200"/>
              <w:rPr>
                <w:lang w:val="en-US"/>
              </w:rPr>
            </w:pPr>
            <w:r>
              <w:rPr>
                <w:lang w:val="en-US"/>
              </w:rPr>
              <w:t>Issue of equity share capital</w:t>
            </w:r>
            <w:r w:rsidRPr="002F3885">
              <w:rPr>
                <w:lang w:val="en-US"/>
              </w:rPr>
              <w:tab/>
            </w:r>
          </w:p>
        </w:tc>
        <w:tc>
          <w:tcPr>
            <w:tcW w:w="465" w:type="pct"/>
            <w:tcBorders>
              <w:top w:val="nil"/>
              <w:left w:val="nil"/>
              <w:bottom w:val="nil"/>
              <w:right w:val="nil"/>
            </w:tcBorders>
            <w:vAlign w:val="bottom"/>
          </w:tcPr>
          <w:p w14:paraId="07B023C7" w14:textId="77777777" w:rsidR="00625949" w:rsidRPr="002F3885" w:rsidRDefault="00625949" w:rsidP="009E7D9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w:t>
            </w:r>
          </w:p>
        </w:tc>
        <w:tc>
          <w:tcPr>
            <w:tcW w:w="517" w:type="pct"/>
            <w:tcBorders>
              <w:top w:val="nil"/>
              <w:left w:val="nil"/>
              <w:bottom w:val="nil"/>
              <w:right w:val="nil"/>
            </w:tcBorders>
            <w:vAlign w:val="bottom"/>
          </w:tcPr>
          <w:p w14:paraId="0B593162" w14:textId="77777777" w:rsidR="00625949" w:rsidRPr="002F3885" w:rsidRDefault="00625949" w:rsidP="009E7D9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w:t>
            </w:r>
          </w:p>
        </w:tc>
        <w:tc>
          <w:tcPr>
            <w:tcW w:w="517" w:type="pct"/>
            <w:tcBorders>
              <w:top w:val="nil"/>
              <w:left w:val="nil"/>
              <w:bottom w:val="nil"/>
              <w:right w:val="nil"/>
            </w:tcBorders>
            <w:vAlign w:val="bottom"/>
          </w:tcPr>
          <w:p w14:paraId="77C836E5" w14:textId="77777777" w:rsidR="00625949" w:rsidRPr="002F3885" w:rsidRDefault="00DF510D" w:rsidP="009E7D9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464" w:type="pct"/>
            <w:tcBorders>
              <w:top w:val="nil"/>
              <w:left w:val="nil"/>
              <w:bottom w:val="nil"/>
              <w:right w:val="nil"/>
            </w:tcBorders>
            <w:vAlign w:val="bottom"/>
          </w:tcPr>
          <w:p w14:paraId="56EED52B" w14:textId="77777777" w:rsidR="00625949" w:rsidRPr="002F3885" w:rsidRDefault="00625949" w:rsidP="009E7D9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w:t>
            </w:r>
          </w:p>
        </w:tc>
      </w:tr>
      <w:tr w:rsidR="00B17DA0" w:rsidRPr="002F3885" w14:paraId="729050C2" w14:textId="77777777">
        <w:trPr>
          <w:cantSplit/>
          <w:jc w:val="center"/>
        </w:trPr>
        <w:tc>
          <w:tcPr>
            <w:tcW w:w="3037" w:type="pct"/>
            <w:tcBorders>
              <w:top w:val="nil"/>
              <w:left w:val="nil"/>
              <w:bottom w:val="nil"/>
              <w:right w:val="nil"/>
            </w:tcBorders>
          </w:tcPr>
          <w:p w14:paraId="4F452E50" w14:textId="77777777" w:rsidR="00B17DA0" w:rsidRPr="002F3885" w:rsidRDefault="00B17DA0" w:rsidP="00625949">
            <w:pPr>
              <w:widowControl/>
              <w:tabs>
                <w:tab w:val="right" w:leader="dot" w:pos="5860"/>
              </w:tabs>
              <w:suppressAutoHyphens/>
              <w:ind w:left="200" w:hanging="200"/>
              <w:rPr>
                <w:lang w:val="en-US"/>
              </w:rPr>
            </w:pPr>
            <w:r>
              <w:rPr>
                <w:b/>
                <w:bCs/>
                <w:lang w:val="en-US"/>
              </w:rPr>
              <w:t>At 31 December 201</w:t>
            </w:r>
            <w:r w:rsidR="00625949">
              <w:rPr>
                <w:b/>
                <w:bCs/>
                <w:lang w:val="en-US"/>
              </w:rPr>
              <w:t>4</w:t>
            </w:r>
            <w:r w:rsidRPr="002F3885">
              <w:rPr>
                <w:lang w:val="en-US"/>
              </w:rPr>
              <w:tab/>
            </w:r>
          </w:p>
        </w:tc>
        <w:tc>
          <w:tcPr>
            <w:tcW w:w="465" w:type="pct"/>
            <w:tcBorders>
              <w:top w:val="nil"/>
              <w:left w:val="nil"/>
              <w:bottom w:val="nil"/>
              <w:right w:val="nil"/>
            </w:tcBorders>
            <w:vAlign w:val="bottom"/>
          </w:tcPr>
          <w:p w14:paraId="2C0E937F" w14:textId="77777777" w:rsidR="00B17DA0" w:rsidRPr="002F3885" w:rsidRDefault="00625949"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559</w:t>
            </w:r>
          </w:p>
        </w:tc>
        <w:tc>
          <w:tcPr>
            <w:tcW w:w="517" w:type="pct"/>
            <w:tcBorders>
              <w:top w:val="nil"/>
              <w:left w:val="nil"/>
              <w:bottom w:val="nil"/>
              <w:right w:val="nil"/>
            </w:tcBorders>
            <w:vAlign w:val="bottom"/>
          </w:tcPr>
          <w:p w14:paraId="463D4036" w14:textId="77777777" w:rsidR="00B17DA0" w:rsidRPr="002F3885" w:rsidRDefault="00625949"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14,574</w:t>
            </w:r>
          </w:p>
        </w:tc>
        <w:tc>
          <w:tcPr>
            <w:tcW w:w="517" w:type="pct"/>
            <w:tcBorders>
              <w:top w:val="nil"/>
              <w:left w:val="nil"/>
              <w:bottom w:val="nil"/>
              <w:right w:val="nil"/>
            </w:tcBorders>
            <w:vAlign w:val="bottom"/>
          </w:tcPr>
          <w:p w14:paraId="36D51FA0" w14:textId="77777777" w:rsidR="00B17DA0" w:rsidRPr="002F3885" w:rsidRDefault="00625949"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43</w:t>
            </w:r>
          </w:p>
        </w:tc>
        <w:tc>
          <w:tcPr>
            <w:tcW w:w="464" w:type="pct"/>
            <w:tcBorders>
              <w:top w:val="nil"/>
              <w:left w:val="nil"/>
              <w:bottom w:val="nil"/>
              <w:right w:val="nil"/>
            </w:tcBorders>
            <w:vAlign w:val="bottom"/>
          </w:tcPr>
          <w:p w14:paraId="292B05F5" w14:textId="77777777" w:rsidR="00B17DA0" w:rsidRPr="002B3815" w:rsidRDefault="00625949"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lang w:val="en-US"/>
              </w:rPr>
            </w:pPr>
            <w:r>
              <w:rPr>
                <w:b/>
                <w:lang w:val="en-US"/>
              </w:rPr>
              <w:t>15,176</w:t>
            </w:r>
          </w:p>
        </w:tc>
      </w:tr>
      <w:tr w:rsidR="00625949" w:rsidRPr="002F3885" w14:paraId="0F6AA1DD" w14:textId="77777777" w:rsidTr="009E7D9B">
        <w:trPr>
          <w:cantSplit/>
          <w:jc w:val="center"/>
        </w:trPr>
        <w:tc>
          <w:tcPr>
            <w:tcW w:w="3037" w:type="pct"/>
            <w:tcBorders>
              <w:top w:val="nil"/>
              <w:left w:val="nil"/>
              <w:bottom w:val="nil"/>
              <w:right w:val="nil"/>
            </w:tcBorders>
          </w:tcPr>
          <w:p w14:paraId="25770AA1" w14:textId="77777777" w:rsidR="00625949" w:rsidRPr="002F3885" w:rsidRDefault="00D11DC2" w:rsidP="009D1134">
            <w:pPr>
              <w:widowControl/>
              <w:tabs>
                <w:tab w:val="right" w:leader="dot" w:pos="5860"/>
              </w:tabs>
              <w:suppressAutoHyphens/>
              <w:ind w:left="200" w:hanging="200"/>
              <w:rPr>
                <w:lang w:val="en-US"/>
              </w:rPr>
            </w:pPr>
            <w:r>
              <w:rPr>
                <w:lang w:val="en-US"/>
              </w:rPr>
              <w:t>Loss</w:t>
            </w:r>
            <w:r w:rsidR="00625949">
              <w:rPr>
                <w:lang w:val="en-US"/>
              </w:rPr>
              <w:t xml:space="preserve"> and t</w:t>
            </w:r>
            <w:r w:rsidR="00625949" w:rsidRPr="002F3885">
              <w:rPr>
                <w:lang w:val="en-US"/>
              </w:rPr>
              <w:t xml:space="preserve">otal comprehensive income for the </w:t>
            </w:r>
            <w:r w:rsidR="00625949">
              <w:rPr>
                <w:lang w:val="en-US"/>
              </w:rPr>
              <w:t>period</w:t>
            </w:r>
            <w:r w:rsidR="00625949" w:rsidRPr="002F3885">
              <w:rPr>
                <w:lang w:val="en-US"/>
              </w:rPr>
              <w:tab/>
            </w:r>
          </w:p>
        </w:tc>
        <w:tc>
          <w:tcPr>
            <w:tcW w:w="465" w:type="pct"/>
            <w:tcBorders>
              <w:top w:val="nil"/>
              <w:left w:val="nil"/>
              <w:bottom w:val="nil"/>
              <w:right w:val="nil"/>
            </w:tcBorders>
          </w:tcPr>
          <w:p w14:paraId="62DF888B" w14:textId="77777777" w:rsidR="00625949" w:rsidRDefault="00DF510D" w:rsidP="009E7D9B">
            <w:pPr>
              <w:jc w:val="right"/>
            </w:pPr>
            <w:r>
              <w:rPr>
                <w:lang w:val="en-US"/>
              </w:rPr>
              <w:t>-</w:t>
            </w:r>
          </w:p>
        </w:tc>
        <w:tc>
          <w:tcPr>
            <w:tcW w:w="517" w:type="pct"/>
            <w:tcBorders>
              <w:top w:val="nil"/>
              <w:left w:val="nil"/>
              <w:bottom w:val="nil"/>
              <w:right w:val="nil"/>
            </w:tcBorders>
          </w:tcPr>
          <w:p w14:paraId="34863655" w14:textId="77777777" w:rsidR="00625949" w:rsidRDefault="00DF510D" w:rsidP="009E7D9B">
            <w:pPr>
              <w:jc w:val="right"/>
            </w:pPr>
            <w:r>
              <w:rPr>
                <w:lang w:val="en-US"/>
              </w:rPr>
              <w:t>-</w:t>
            </w:r>
          </w:p>
        </w:tc>
        <w:tc>
          <w:tcPr>
            <w:tcW w:w="517" w:type="pct"/>
            <w:tcBorders>
              <w:top w:val="nil"/>
              <w:left w:val="nil"/>
              <w:bottom w:val="nil"/>
              <w:right w:val="nil"/>
            </w:tcBorders>
            <w:vAlign w:val="bottom"/>
          </w:tcPr>
          <w:p w14:paraId="1BDF1BB2" w14:textId="77777777" w:rsidR="00625949" w:rsidRPr="004D0312" w:rsidRDefault="00DF510D" w:rsidP="001A788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1A7880">
              <w:rPr>
                <w:lang w:val="en-US"/>
              </w:rPr>
              <w:t>562</w:t>
            </w:r>
            <w:r>
              <w:rPr>
                <w:lang w:val="en-US"/>
              </w:rPr>
              <w:t>)</w:t>
            </w:r>
          </w:p>
        </w:tc>
        <w:tc>
          <w:tcPr>
            <w:tcW w:w="464" w:type="pct"/>
            <w:tcBorders>
              <w:top w:val="nil"/>
              <w:left w:val="nil"/>
              <w:bottom w:val="nil"/>
              <w:right w:val="nil"/>
            </w:tcBorders>
            <w:vAlign w:val="bottom"/>
          </w:tcPr>
          <w:p w14:paraId="593633B6" w14:textId="77777777" w:rsidR="00625949" w:rsidRPr="004D0312" w:rsidRDefault="00DF510D" w:rsidP="001A788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1A7880">
              <w:rPr>
                <w:lang w:val="en-US"/>
              </w:rPr>
              <w:t>562</w:t>
            </w:r>
            <w:r>
              <w:rPr>
                <w:lang w:val="en-US"/>
              </w:rPr>
              <w:t>)</w:t>
            </w:r>
          </w:p>
        </w:tc>
      </w:tr>
      <w:tr w:rsidR="00625949" w:rsidRPr="002F3885" w14:paraId="1CAA5BAC" w14:textId="77777777">
        <w:trPr>
          <w:cantSplit/>
          <w:jc w:val="center"/>
        </w:trPr>
        <w:tc>
          <w:tcPr>
            <w:tcW w:w="3037" w:type="pct"/>
            <w:tcBorders>
              <w:top w:val="nil"/>
              <w:left w:val="nil"/>
              <w:bottom w:val="nil"/>
              <w:right w:val="nil"/>
            </w:tcBorders>
          </w:tcPr>
          <w:p w14:paraId="08D05F79" w14:textId="77777777" w:rsidR="00625949" w:rsidRPr="002F3885" w:rsidRDefault="00D11DC2" w:rsidP="009D1134">
            <w:pPr>
              <w:widowControl/>
              <w:tabs>
                <w:tab w:val="right" w:leader="dot" w:pos="5860"/>
              </w:tabs>
              <w:suppressAutoHyphens/>
              <w:spacing w:after="20"/>
              <w:ind w:left="200" w:hanging="200"/>
              <w:rPr>
                <w:lang w:val="en-US"/>
              </w:rPr>
            </w:pPr>
            <w:r w:rsidRPr="002F3885">
              <w:rPr>
                <w:lang w:val="en-US"/>
              </w:rPr>
              <w:t>Employee share</w:t>
            </w:r>
            <w:r w:rsidRPr="002F3885">
              <w:rPr>
                <w:lang w:val="en-US"/>
              </w:rPr>
              <w:noBreakHyphen/>
              <w:t>based payment charge</w:t>
            </w:r>
            <w:r w:rsidRPr="002F3885">
              <w:rPr>
                <w:lang w:val="en-US"/>
              </w:rPr>
              <w:tab/>
            </w:r>
          </w:p>
        </w:tc>
        <w:tc>
          <w:tcPr>
            <w:tcW w:w="465" w:type="pct"/>
            <w:tcBorders>
              <w:top w:val="nil"/>
              <w:left w:val="nil"/>
              <w:bottom w:val="nil"/>
              <w:right w:val="nil"/>
            </w:tcBorders>
            <w:vAlign w:val="bottom"/>
          </w:tcPr>
          <w:p w14:paraId="3CEB63AC" w14:textId="77777777" w:rsidR="00625949" w:rsidRPr="002F3885" w:rsidRDefault="00DF510D"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517" w:type="pct"/>
            <w:tcBorders>
              <w:top w:val="nil"/>
              <w:left w:val="nil"/>
              <w:bottom w:val="nil"/>
              <w:right w:val="nil"/>
            </w:tcBorders>
            <w:vAlign w:val="bottom"/>
          </w:tcPr>
          <w:p w14:paraId="2D5B9899" w14:textId="77777777" w:rsidR="00625949" w:rsidRPr="002F3885" w:rsidRDefault="00DF510D" w:rsidP="00E7003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517" w:type="pct"/>
            <w:tcBorders>
              <w:top w:val="nil"/>
              <w:left w:val="nil"/>
              <w:bottom w:val="nil"/>
              <w:right w:val="nil"/>
            </w:tcBorders>
            <w:vAlign w:val="bottom"/>
          </w:tcPr>
          <w:p w14:paraId="2DF9FAA1" w14:textId="77777777" w:rsidR="00625949" w:rsidRPr="002F3885" w:rsidRDefault="00D11DC2"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18</w:t>
            </w:r>
          </w:p>
        </w:tc>
        <w:tc>
          <w:tcPr>
            <w:tcW w:w="464" w:type="pct"/>
            <w:tcBorders>
              <w:top w:val="nil"/>
              <w:left w:val="nil"/>
              <w:bottom w:val="nil"/>
              <w:right w:val="nil"/>
            </w:tcBorders>
            <w:vAlign w:val="bottom"/>
          </w:tcPr>
          <w:p w14:paraId="6A10AC2E" w14:textId="77777777" w:rsidR="00625949" w:rsidRPr="002F3885" w:rsidRDefault="00D11DC2"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18</w:t>
            </w:r>
          </w:p>
        </w:tc>
      </w:tr>
      <w:tr w:rsidR="00625949" w:rsidRPr="0085101A" w14:paraId="111CF429" w14:textId="77777777">
        <w:trPr>
          <w:cantSplit/>
          <w:jc w:val="center"/>
        </w:trPr>
        <w:tc>
          <w:tcPr>
            <w:tcW w:w="3037" w:type="pct"/>
            <w:tcBorders>
              <w:top w:val="nil"/>
              <w:left w:val="nil"/>
              <w:bottom w:val="nil"/>
              <w:right w:val="nil"/>
            </w:tcBorders>
          </w:tcPr>
          <w:p w14:paraId="4E8B8BBB" w14:textId="77777777" w:rsidR="00625949" w:rsidRPr="002F3885" w:rsidRDefault="00625949" w:rsidP="00625949">
            <w:pPr>
              <w:widowControl/>
              <w:tabs>
                <w:tab w:val="right" w:leader="dot" w:pos="5860"/>
              </w:tabs>
              <w:suppressAutoHyphens/>
              <w:spacing w:after="40"/>
              <w:ind w:left="200" w:hanging="200"/>
              <w:rPr>
                <w:lang w:val="en-US"/>
              </w:rPr>
            </w:pPr>
            <w:r w:rsidRPr="002F3885">
              <w:rPr>
                <w:b/>
                <w:bCs/>
                <w:lang w:val="en-US"/>
              </w:rPr>
              <w:t xml:space="preserve">At </w:t>
            </w:r>
            <w:r>
              <w:rPr>
                <w:b/>
                <w:bCs/>
                <w:lang w:val="en-US"/>
              </w:rPr>
              <w:t>30 June 2015 (Unaudited)</w:t>
            </w:r>
            <w:r w:rsidRPr="002F3885">
              <w:rPr>
                <w:lang w:val="en-US"/>
              </w:rPr>
              <w:tab/>
            </w:r>
          </w:p>
        </w:tc>
        <w:tc>
          <w:tcPr>
            <w:tcW w:w="465" w:type="pct"/>
            <w:tcBorders>
              <w:top w:val="nil"/>
              <w:left w:val="nil"/>
              <w:bottom w:val="nil"/>
              <w:right w:val="nil"/>
            </w:tcBorders>
            <w:vAlign w:val="bottom"/>
          </w:tcPr>
          <w:p w14:paraId="5A7C7241" w14:textId="77777777" w:rsidR="00625949" w:rsidRPr="002F3885" w:rsidRDefault="00DF510D" w:rsidP="009D113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559</w:t>
            </w:r>
          </w:p>
        </w:tc>
        <w:tc>
          <w:tcPr>
            <w:tcW w:w="517" w:type="pct"/>
            <w:tcBorders>
              <w:top w:val="nil"/>
              <w:left w:val="nil"/>
              <w:bottom w:val="nil"/>
              <w:right w:val="nil"/>
            </w:tcBorders>
            <w:vAlign w:val="bottom"/>
          </w:tcPr>
          <w:p w14:paraId="733801F9" w14:textId="77777777" w:rsidR="00625949" w:rsidRPr="002F3885" w:rsidRDefault="00DF510D" w:rsidP="00D63D7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14,574</w:t>
            </w:r>
          </w:p>
        </w:tc>
        <w:tc>
          <w:tcPr>
            <w:tcW w:w="517" w:type="pct"/>
            <w:tcBorders>
              <w:top w:val="nil"/>
              <w:left w:val="nil"/>
              <w:bottom w:val="nil"/>
              <w:right w:val="nil"/>
            </w:tcBorders>
            <w:vAlign w:val="bottom"/>
          </w:tcPr>
          <w:p w14:paraId="46B0AFE8" w14:textId="77777777" w:rsidR="00625949" w:rsidRPr="002F3885" w:rsidRDefault="00187283" w:rsidP="001A788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(2,</w:t>
            </w:r>
            <w:r w:rsidR="001A7880">
              <w:rPr>
                <w:b/>
                <w:bCs/>
                <w:lang w:val="en-US"/>
              </w:rPr>
              <w:t>501</w:t>
            </w:r>
            <w:r w:rsidR="00DF510D">
              <w:rPr>
                <w:b/>
                <w:bCs/>
                <w:lang w:val="en-US"/>
              </w:rPr>
              <w:t>)</w:t>
            </w:r>
          </w:p>
        </w:tc>
        <w:tc>
          <w:tcPr>
            <w:tcW w:w="464" w:type="pct"/>
            <w:tcBorders>
              <w:top w:val="nil"/>
              <w:left w:val="nil"/>
              <w:bottom w:val="nil"/>
              <w:right w:val="nil"/>
            </w:tcBorders>
            <w:vAlign w:val="bottom"/>
          </w:tcPr>
          <w:p w14:paraId="03593A44" w14:textId="77777777" w:rsidR="00625949" w:rsidRPr="0085101A" w:rsidRDefault="00DF510D" w:rsidP="001A788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lang w:val="en-US"/>
              </w:rPr>
            </w:pPr>
            <w:r>
              <w:rPr>
                <w:b/>
                <w:lang w:val="en-US"/>
              </w:rPr>
              <w:t>12,</w:t>
            </w:r>
            <w:r w:rsidR="001A7880">
              <w:rPr>
                <w:b/>
                <w:lang w:val="en-US"/>
              </w:rPr>
              <w:t>632</w:t>
            </w:r>
          </w:p>
        </w:tc>
      </w:tr>
    </w:tbl>
    <w:p w14:paraId="1ECF77E0" w14:textId="77777777" w:rsidR="009D1134" w:rsidRPr="002F3885" w:rsidRDefault="009D1134" w:rsidP="009D1134">
      <w:pPr>
        <w:widowControl/>
        <w:tabs>
          <w:tab w:val="left" w:pos="-720"/>
        </w:tabs>
        <w:suppressAutoHyphens/>
        <w:spacing w:before="240" w:after="240"/>
        <w:ind w:firstLine="720"/>
        <w:jc w:val="both"/>
        <w:rPr>
          <w:lang w:val="en-US"/>
        </w:rPr>
      </w:pPr>
      <w:r w:rsidRPr="002F3885">
        <w:rPr>
          <w:lang w:val="en-US"/>
        </w:rPr>
        <w:t>The following describes the nature and purpose of each reserve within equity:</w:t>
      </w:r>
    </w:p>
    <w:tbl>
      <w:tblPr>
        <w:tblW w:w="5000" w:type="pct"/>
        <w:jc w:val="center"/>
        <w:tblCellMar>
          <w:left w:w="72" w:type="dxa"/>
          <w:right w:w="72" w:type="dxa"/>
        </w:tblCellMar>
        <w:tblLook w:val="0000" w:firstRow="0" w:lastRow="0" w:firstColumn="0" w:lastColumn="0" w:noHBand="0" w:noVBand="0"/>
      </w:tblPr>
      <w:tblGrid>
        <w:gridCol w:w="1894"/>
        <w:gridCol w:w="7748"/>
      </w:tblGrid>
      <w:tr w:rsidR="009D1134" w:rsidRPr="002F3885" w14:paraId="39CF154A" w14:textId="77777777">
        <w:trPr>
          <w:cantSplit/>
          <w:jc w:val="center"/>
        </w:trPr>
        <w:tc>
          <w:tcPr>
            <w:tcW w:w="982" w:type="pct"/>
            <w:tcBorders>
              <w:top w:val="nil"/>
              <w:left w:val="nil"/>
              <w:bottom w:val="nil"/>
              <w:right w:val="nil"/>
            </w:tcBorders>
          </w:tcPr>
          <w:p w14:paraId="1836A1F2"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Share Capital</w:t>
            </w:r>
          </w:p>
        </w:tc>
        <w:tc>
          <w:tcPr>
            <w:tcW w:w="4018" w:type="pct"/>
            <w:tcBorders>
              <w:top w:val="nil"/>
              <w:left w:val="nil"/>
              <w:bottom w:val="nil"/>
              <w:right w:val="nil"/>
            </w:tcBorders>
          </w:tcPr>
          <w:p w14:paraId="02EF8507"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lang w:val="en-US"/>
              </w:rPr>
            </w:pPr>
            <w:r w:rsidRPr="002F3885">
              <w:rPr>
                <w:lang w:val="en-US"/>
              </w:rPr>
              <w:t>Represents the nominal value of shares allotted, called up and fully paid</w:t>
            </w:r>
          </w:p>
        </w:tc>
      </w:tr>
      <w:tr w:rsidR="009D1134" w:rsidRPr="002F3885" w14:paraId="3F13CC8E" w14:textId="77777777">
        <w:trPr>
          <w:cantSplit/>
          <w:jc w:val="center"/>
        </w:trPr>
        <w:tc>
          <w:tcPr>
            <w:tcW w:w="982" w:type="pct"/>
            <w:tcBorders>
              <w:top w:val="nil"/>
              <w:left w:val="nil"/>
              <w:bottom w:val="nil"/>
              <w:right w:val="nil"/>
            </w:tcBorders>
          </w:tcPr>
          <w:p w14:paraId="5870971E"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Share Premium</w:t>
            </w:r>
          </w:p>
        </w:tc>
        <w:tc>
          <w:tcPr>
            <w:tcW w:w="4018" w:type="pct"/>
            <w:tcBorders>
              <w:top w:val="nil"/>
              <w:left w:val="nil"/>
              <w:bottom w:val="nil"/>
              <w:right w:val="nil"/>
            </w:tcBorders>
          </w:tcPr>
          <w:p w14:paraId="72624591"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lang w:val="en-US"/>
              </w:rPr>
            </w:pPr>
            <w:r w:rsidRPr="002F3885">
              <w:rPr>
                <w:lang w:val="en-US"/>
              </w:rPr>
              <w:t>Represents the amount subscribed for share capital in excess of nominal value</w:t>
            </w:r>
          </w:p>
        </w:tc>
      </w:tr>
      <w:tr w:rsidR="009D1134" w:rsidRPr="002F3885" w14:paraId="3CF9D0F8" w14:textId="77777777">
        <w:trPr>
          <w:cantSplit/>
          <w:jc w:val="center"/>
        </w:trPr>
        <w:tc>
          <w:tcPr>
            <w:tcW w:w="982" w:type="pct"/>
            <w:tcBorders>
              <w:top w:val="nil"/>
              <w:left w:val="nil"/>
              <w:bottom w:val="nil"/>
              <w:right w:val="nil"/>
            </w:tcBorders>
          </w:tcPr>
          <w:p w14:paraId="759B273E"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Retained Earnings</w:t>
            </w:r>
          </w:p>
        </w:tc>
        <w:tc>
          <w:tcPr>
            <w:tcW w:w="4018" w:type="pct"/>
            <w:tcBorders>
              <w:top w:val="nil"/>
              <w:left w:val="nil"/>
              <w:bottom w:val="nil"/>
              <w:right w:val="nil"/>
            </w:tcBorders>
          </w:tcPr>
          <w:p w14:paraId="5C3D768C"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lang w:val="en-US"/>
              </w:rPr>
            </w:pPr>
            <w:r w:rsidRPr="002F3885">
              <w:rPr>
                <w:lang w:val="en-US"/>
              </w:rPr>
              <w:t>Represents the cumulative net gains and losses recognised in the consolidated statement of comprehensive income</w:t>
            </w:r>
          </w:p>
        </w:tc>
      </w:tr>
    </w:tbl>
    <w:p w14:paraId="56D29A73"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jc w:val="both"/>
        <w:rPr>
          <w:lang w:val="en-US"/>
        </w:rPr>
      </w:pPr>
    </w:p>
    <w:p w14:paraId="687C1E3E" w14:textId="77777777" w:rsidR="0098558B" w:rsidRDefault="009D1134" w:rsidP="00415511">
      <w:pPr>
        <w:keepNext/>
        <w:keepLines/>
        <w:widowControl/>
        <w:tabs>
          <w:tab w:val="left" w:pos="720"/>
          <w:tab w:val="left" w:pos="1440"/>
          <w:tab w:val="center" w:pos="5400"/>
        </w:tabs>
        <w:suppressAutoHyphens/>
        <w:spacing w:after="240"/>
        <w:jc w:val="center"/>
        <w:rPr>
          <w:lang w:val="en-US"/>
        </w:rPr>
      </w:pPr>
      <w:r>
        <w:rPr>
          <w:lang w:val="en-US"/>
        </w:rPr>
        <w:br w:type="page"/>
      </w:r>
    </w:p>
    <w:p w14:paraId="7CA12303" w14:textId="77777777" w:rsidR="00415511" w:rsidRPr="00221793" w:rsidRDefault="00415511" w:rsidP="00415511">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4CC918E9" w14:textId="77777777" w:rsidR="00415511" w:rsidRPr="00221793" w:rsidRDefault="00415511" w:rsidP="00415511">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w:t>
      </w:r>
      <w:r w:rsidR="00163EE8">
        <w:rPr>
          <w:b/>
          <w:bCs/>
          <w:sz w:val="24"/>
          <w:szCs w:val="24"/>
          <w:lang w:val="en-US"/>
        </w:rPr>
        <w:t>30 June 2015</w:t>
      </w:r>
    </w:p>
    <w:p w14:paraId="59CD6EFF" w14:textId="77777777" w:rsidR="009D1134" w:rsidRPr="00221793" w:rsidRDefault="009D1134" w:rsidP="009D113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Consolidated statement of cash flows</w:t>
      </w:r>
    </w:p>
    <w:tbl>
      <w:tblPr>
        <w:tblW w:w="5564" w:type="pct"/>
        <w:jc w:val="center"/>
        <w:tblCellMar>
          <w:left w:w="72" w:type="dxa"/>
          <w:right w:w="72" w:type="dxa"/>
        </w:tblCellMar>
        <w:tblLook w:val="0000" w:firstRow="0" w:lastRow="0" w:firstColumn="0" w:lastColumn="0" w:noHBand="0" w:noVBand="0"/>
      </w:tblPr>
      <w:tblGrid>
        <w:gridCol w:w="5246"/>
        <w:gridCol w:w="994"/>
        <w:gridCol w:w="1558"/>
        <w:gridCol w:w="1511"/>
        <w:gridCol w:w="1421"/>
      </w:tblGrid>
      <w:tr w:rsidR="002B3815" w:rsidRPr="002F3885" w14:paraId="7B5A61EC" w14:textId="77777777">
        <w:trPr>
          <w:cantSplit/>
          <w:trHeight w:val="955"/>
          <w:jc w:val="center"/>
        </w:trPr>
        <w:tc>
          <w:tcPr>
            <w:tcW w:w="2445" w:type="pct"/>
            <w:vAlign w:val="bottom"/>
          </w:tcPr>
          <w:p w14:paraId="39280A00"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463" w:type="pct"/>
            <w:vAlign w:val="bottom"/>
          </w:tcPr>
          <w:p w14:paraId="501461EA" w14:textId="77777777" w:rsidR="002B3815" w:rsidRPr="002F3885" w:rsidRDefault="002B3815" w:rsidP="0019507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726" w:type="pct"/>
            <w:vAlign w:val="bottom"/>
          </w:tcPr>
          <w:p w14:paraId="38FD2586" w14:textId="77777777" w:rsidR="002B3815" w:rsidRDefault="00DE182D"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sidR="002B3815" w:rsidRPr="002F3885">
              <w:rPr>
                <w:b/>
                <w:bCs/>
                <w:sz w:val="16"/>
                <w:szCs w:val="18"/>
                <w:lang w:val="en-US"/>
              </w:rPr>
              <w:t xml:space="preserve"> ended </w:t>
            </w:r>
          </w:p>
          <w:p w14:paraId="62956583" w14:textId="77777777" w:rsidR="002B3815" w:rsidRDefault="002B3815"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30 June 201</w:t>
            </w:r>
            <w:r w:rsidR="00163EE8">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186438A5" w14:textId="77777777" w:rsidR="00833129" w:rsidRPr="002F3885" w:rsidRDefault="00833129"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704" w:type="pct"/>
            <w:vAlign w:val="bottom"/>
          </w:tcPr>
          <w:p w14:paraId="57DDD48D" w14:textId="77777777" w:rsidR="002B3815" w:rsidRDefault="00DE182D"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sidR="002B3815" w:rsidRPr="002F3885">
              <w:rPr>
                <w:b/>
                <w:bCs/>
                <w:sz w:val="16"/>
                <w:szCs w:val="18"/>
                <w:lang w:val="en-US"/>
              </w:rPr>
              <w:t xml:space="preserve"> ended </w:t>
            </w:r>
          </w:p>
          <w:p w14:paraId="7430116B" w14:textId="77777777" w:rsidR="002B3815" w:rsidRDefault="002B3815"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30 June 201</w:t>
            </w:r>
            <w:r w:rsidR="00163EE8">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73191ACC" w14:textId="77777777" w:rsidR="00833129" w:rsidRPr="002F3885" w:rsidRDefault="00833129" w:rsidP="002B381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Unaudited</w:t>
            </w:r>
          </w:p>
        </w:tc>
        <w:tc>
          <w:tcPr>
            <w:tcW w:w="662" w:type="pct"/>
            <w:vAlign w:val="bottom"/>
          </w:tcPr>
          <w:p w14:paraId="2525F7BA" w14:textId="77777777" w:rsidR="002B3815" w:rsidRDefault="002B3815" w:rsidP="003260A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 xml:space="preserve">Year ended </w:t>
            </w:r>
            <w:r w:rsidR="00163EE8">
              <w:rPr>
                <w:b/>
                <w:bCs/>
                <w:sz w:val="16"/>
                <w:szCs w:val="18"/>
                <w:lang w:val="en-US"/>
              </w:rPr>
              <w:t>31 December 2014</w:t>
            </w:r>
            <w:r w:rsidRPr="002F3885">
              <w:rPr>
                <w:b/>
                <w:bCs/>
                <w:sz w:val="16"/>
                <w:szCs w:val="18"/>
                <w:lang w:val="en-US"/>
              </w:rPr>
              <w:br/>
            </w:r>
            <w:r>
              <w:rPr>
                <w:b/>
                <w:bCs/>
                <w:sz w:val="16"/>
                <w:szCs w:val="18"/>
                <w:lang w:val="en-US"/>
              </w:rPr>
              <w:t>£’</w:t>
            </w:r>
            <w:r w:rsidRPr="002F3885">
              <w:rPr>
                <w:b/>
                <w:bCs/>
                <w:sz w:val="16"/>
                <w:szCs w:val="18"/>
                <w:lang w:val="en-US"/>
              </w:rPr>
              <w:t>000</w:t>
            </w:r>
          </w:p>
          <w:p w14:paraId="3C9D5889" w14:textId="77777777" w:rsidR="00833129" w:rsidRDefault="00833129" w:rsidP="003260A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Audited</w:t>
            </w:r>
          </w:p>
        </w:tc>
      </w:tr>
      <w:tr w:rsidR="002B3815" w:rsidRPr="002F3885" w14:paraId="632390DD" w14:textId="77777777">
        <w:trPr>
          <w:cantSplit/>
          <w:trHeight w:val="227"/>
          <w:jc w:val="center"/>
        </w:trPr>
        <w:tc>
          <w:tcPr>
            <w:tcW w:w="2445" w:type="pct"/>
          </w:tcPr>
          <w:p w14:paraId="556B98FD"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Cash flow from operating activities</w:t>
            </w:r>
          </w:p>
        </w:tc>
        <w:tc>
          <w:tcPr>
            <w:tcW w:w="463" w:type="pct"/>
            <w:vAlign w:val="bottom"/>
          </w:tcPr>
          <w:p w14:paraId="1BD8FE4D"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6EA08206"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1EA906E9"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557ACD51"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0A14A8B0" w14:textId="77777777">
        <w:trPr>
          <w:cantSplit/>
          <w:trHeight w:val="456"/>
          <w:jc w:val="center"/>
        </w:trPr>
        <w:tc>
          <w:tcPr>
            <w:tcW w:w="2445" w:type="pct"/>
          </w:tcPr>
          <w:p w14:paraId="66795276" w14:textId="77777777" w:rsidR="00163EE8" w:rsidRDefault="00163EE8" w:rsidP="001C7A64">
            <w:pPr>
              <w:widowControl/>
              <w:tabs>
                <w:tab w:val="right" w:leader="dot" w:pos="3820"/>
              </w:tabs>
              <w:suppressAutoHyphens/>
              <w:ind w:left="200" w:hanging="200"/>
              <w:rPr>
                <w:lang w:val="en-US"/>
              </w:rPr>
            </w:pPr>
          </w:p>
          <w:p w14:paraId="575D7373" w14:textId="77777777" w:rsidR="00163EE8" w:rsidRPr="002F3885" w:rsidRDefault="000A6D3B" w:rsidP="000A6D3B">
            <w:pPr>
              <w:widowControl/>
              <w:tabs>
                <w:tab w:val="right" w:leader="dot" w:pos="3820"/>
              </w:tabs>
              <w:suppressAutoHyphens/>
              <w:ind w:left="200" w:hanging="200"/>
              <w:rPr>
                <w:lang w:val="en-US"/>
              </w:rPr>
            </w:pPr>
            <w:r>
              <w:rPr>
                <w:lang w:val="en-US"/>
              </w:rPr>
              <w:t>Loss</w:t>
            </w:r>
            <w:r w:rsidR="00163EE8">
              <w:rPr>
                <w:lang w:val="en-US"/>
              </w:rPr>
              <w:t xml:space="preserve"> for the period</w:t>
            </w:r>
            <w:r w:rsidR="00163EE8" w:rsidRPr="002F3885">
              <w:rPr>
                <w:lang w:val="en-US"/>
              </w:rPr>
              <w:t xml:space="preserve"> before taxation</w:t>
            </w:r>
            <w:r w:rsidR="00163EE8" w:rsidRPr="002F3885">
              <w:rPr>
                <w:lang w:val="en-US"/>
              </w:rPr>
              <w:tab/>
            </w:r>
          </w:p>
        </w:tc>
        <w:tc>
          <w:tcPr>
            <w:tcW w:w="463" w:type="pct"/>
            <w:vAlign w:val="bottom"/>
          </w:tcPr>
          <w:p w14:paraId="3722E2E9"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5067E035" w14:textId="77777777" w:rsidR="00163EE8" w:rsidRPr="00470E27" w:rsidRDefault="001E00BD" w:rsidP="00F507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F50721">
              <w:rPr>
                <w:lang w:val="en-US"/>
              </w:rPr>
              <w:t>562</w:t>
            </w:r>
            <w:r>
              <w:rPr>
                <w:lang w:val="en-US"/>
              </w:rPr>
              <w:t>)</w:t>
            </w:r>
          </w:p>
        </w:tc>
        <w:tc>
          <w:tcPr>
            <w:tcW w:w="704" w:type="pct"/>
            <w:vAlign w:val="bottom"/>
          </w:tcPr>
          <w:p w14:paraId="3C1129BF" w14:textId="77777777" w:rsidR="00163EE8" w:rsidRPr="00470E27"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470E27">
              <w:rPr>
                <w:lang w:val="en-US"/>
              </w:rPr>
              <w:t>(908)</w:t>
            </w:r>
          </w:p>
        </w:tc>
        <w:tc>
          <w:tcPr>
            <w:tcW w:w="662" w:type="pct"/>
            <w:vAlign w:val="bottom"/>
          </w:tcPr>
          <w:p w14:paraId="797B4BB7"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(2,602)</w:t>
            </w:r>
          </w:p>
        </w:tc>
      </w:tr>
      <w:tr w:rsidR="00163EE8" w:rsidRPr="002F3885" w14:paraId="26693911" w14:textId="77777777">
        <w:trPr>
          <w:cantSplit/>
          <w:trHeight w:val="227"/>
          <w:jc w:val="center"/>
        </w:trPr>
        <w:tc>
          <w:tcPr>
            <w:tcW w:w="2445" w:type="pct"/>
          </w:tcPr>
          <w:p w14:paraId="55982F7E"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lang w:val="en-US"/>
              </w:rPr>
              <w:t>Adjustments for:</w:t>
            </w:r>
          </w:p>
        </w:tc>
        <w:tc>
          <w:tcPr>
            <w:tcW w:w="463" w:type="pct"/>
            <w:vAlign w:val="bottom"/>
          </w:tcPr>
          <w:p w14:paraId="4A62E085"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4E4C2FCC"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5BD28B03"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372BCD21" w14:textId="77777777" w:rsidR="00163EE8" w:rsidRPr="002F3885" w:rsidRDefault="00163EE8"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2A76E871" w14:textId="77777777">
        <w:trPr>
          <w:cantSplit/>
          <w:trHeight w:val="227"/>
          <w:jc w:val="center"/>
        </w:trPr>
        <w:tc>
          <w:tcPr>
            <w:tcW w:w="2445" w:type="pct"/>
          </w:tcPr>
          <w:p w14:paraId="2DBEFEFE" w14:textId="77777777" w:rsidR="00163EE8" w:rsidRPr="002F3885" w:rsidRDefault="00163EE8" w:rsidP="009D1134">
            <w:pPr>
              <w:widowControl/>
              <w:tabs>
                <w:tab w:val="right" w:leader="dot" w:pos="3820"/>
              </w:tabs>
              <w:suppressAutoHyphens/>
              <w:ind w:left="200" w:hanging="200"/>
              <w:rPr>
                <w:lang w:val="en-US"/>
              </w:rPr>
            </w:pPr>
            <w:r w:rsidRPr="002F3885">
              <w:rPr>
                <w:lang w:val="en-US"/>
              </w:rPr>
              <w:t>Amortisation of intangible assets</w:t>
            </w:r>
            <w:r w:rsidRPr="002F3885">
              <w:rPr>
                <w:lang w:val="en-US"/>
              </w:rPr>
              <w:tab/>
            </w:r>
          </w:p>
        </w:tc>
        <w:tc>
          <w:tcPr>
            <w:tcW w:w="463" w:type="pct"/>
            <w:vAlign w:val="bottom"/>
          </w:tcPr>
          <w:p w14:paraId="13492A7F"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78F003E7"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701</w:t>
            </w:r>
          </w:p>
        </w:tc>
        <w:tc>
          <w:tcPr>
            <w:tcW w:w="704" w:type="pct"/>
            <w:vAlign w:val="bottom"/>
          </w:tcPr>
          <w:p w14:paraId="2AD2B6D8"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271</w:t>
            </w:r>
          </w:p>
        </w:tc>
        <w:tc>
          <w:tcPr>
            <w:tcW w:w="662" w:type="pct"/>
            <w:vAlign w:val="bottom"/>
          </w:tcPr>
          <w:p w14:paraId="70BD551B"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777</w:t>
            </w:r>
          </w:p>
        </w:tc>
      </w:tr>
      <w:tr w:rsidR="00163EE8" w:rsidRPr="002F3885" w14:paraId="356C59EF" w14:textId="77777777">
        <w:trPr>
          <w:cantSplit/>
          <w:trHeight w:val="268"/>
          <w:jc w:val="center"/>
        </w:trPr>
        <w:tc>
          <w:tcPr>
            <w:tcW w:w="2445" w:type="pct"/>
          </w:tcPr>
          <w:p w14:paraId="2EC005CD" w14:textId="77777777" w:rsidR="00163EE8" w:rsidRPr="001C7A64" w:rsidRDefault="00163EE8" w:rsidP="001C7A64">
            <w:pPr>
              <w:rPr>
                <w:lang w:val="en-US"/>
              </w:rPr>
            </w:pPr>
            <w:r w:rsidRPr="002F3885">
              <w:rPr>
                <w:lang w:val="en-US"/>
              </w:rPr>
              <w:t>Depreciation o</w:t>
            </w:r>
            <w:r>
              <w:rPr>
                <w:lang w:val="en-US"/>
              </w:rPr>
              <w:t>f property, plant and equipment</w:t>
            </w:r>
          </w:p>
        </w:tc>
        <w:tc>
          <w:tcPr>
            <w:tcW w:w="463" w:type="pct"/>
            <w:vAlign w:val="bottom"/>
          </w:tcPr>
          <w:p w14:paraId="17AB5FA5"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2480EC13"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211</w:t>
            </w:r>
          </w:p>
        </w:tc>
        <w:tc>
          <w:tcPr>
            <w:tcW w:w="704" w:type="pct"/>
            <w:vAlign w:val="bottom"/>
          </w:tcPr>
          <w:p w14:paraId="00ED520C"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171</w:t>
            </w:r>
          </w:p>
        </w:tc>
        <w:tc>
          <w:tcPr>
            <w:tcW w:w="662" w:type="pct"/>
            <w:vAlign w:val="bottom"/>
          </w:tcPr>
          <w:p w14:paraId="2B71523B"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360</w:t>
            </w:r>
          </w:p>
        </w:tc>
      </w:tr>
      <w:tr w:rsidR="00163EE8" w:rsidRPr="002F3885" w14:paraId="5481773F" w14:textId="77777777">
        <w:trPr>
          <w:cantSplit/>
          <w:trHeight w:val="227"/>
          <w:jc w:val="center"/>
        </w:trPr>
        <w:tc>
          <w:tcPr>
            <w:tcW w:w="2445" w:type="pct"/>
          </w:tcPr>
          <w:p w14:paraId="18C2E328" w14:textId="77777777" w:rsidR="00163EE8" w:rsidRPr="002F3885" w:rsidRDefault="00163EE8" w:rsidP="009D1134">
            <w:pPr>
              <w:widowControl/>
              <w:tabs>
                <w:tab w:val="right" w:leader="dot" w:pos="3820"/>
              </w:tabs>
              <w:suppressAutoHyphens/>
              <w:ind w:left="200" w:hanging="200"/>
              <w:rPr>
                <w:lang w:val="en-US"/>
              </w:rPr>
            </w:pPr>
            <w:r w:rsidRPr="002F3885">
              <w:rPr>
                <w:lang w:val="en-US"/>
              </w:rPr>
              <w:t>Share based payment expense</w:t>
            </w:r>
            <w:r w:rsidRPr="002F3885">
              <w:rPr>
                <w:lang w:val="en-US"/>
              </w:rPr>
              <w:tab/>
            </w:r>
          </w:p>
        </w:tc>
        <w:tc>
          <w:tcPr>
            <w:tcW w:w="463" w:type="pct"/>
            <w:vAlign w:val="bottom"/>
          </w:tcPr>
          <w:p w14:paraId="07912FAE" w14:textId="77777777" w:rsidR="00163EE8" w:rsidRPr="002F3885" w:rsidRDefault="00163EE8" w:rsidP="00B1130F">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67DED7E3"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18</w:t>
            </w:r>
          </w:p>
        </w:tc>
        <w:tc>
          <w:tcPr>
            <w:tcW w:w="704" w:type="pct"/>
            <w:vAlign w:val="bottom"/>
          </w:tcPr>
          <w:p w14:paraId="6B0D09B6"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35</w:t>
            </w:r>
          </w:p>
        </w:tc>
        <w:tc>
          <w:tcPr>
            <w:tcW w:w="662" w:type="pct"/>
            <w:vAlign w:val="bottom"/>
          </w:tcPr>
          <w:p w14:paraId="6E3A7AAF"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40</w:t>
            </w:r>
          </w:p>
        </w:tc>
      </w:tr>
      <w:tr w:rsidR="00163EE8" w:rsidRPr="002F3885" w14:paraId="5AE56127" w14:textId="77777777">
        <w:trPr>
          <w:cantSplit/>
          <w:trHeight w:val="227"/>
          <w:jc w:val="center"/>
        </w:trPr>
        <w:tc>
          <w:tcPr>
            <w:tcW w:w="2445" w:type="pct"/>
          </w:tcPr>
          <w:p w14:paraId="05C8867B" w14:textId="77777777" w:rsidR="00163EE8" w:rsidRPr="002F3885" w:rsidRDefault="00163EE8" w:rsidP="006678DD">
            <w:pPr>
              <w:widowControl/>
              <w:tabs>
                <w:tab w:val="right" w:leader="dot" w:pos="3820"/>
              </w:tabs>
              <w:suppressAutoHyphens/>
              <w:ind w:left="200" w:hanging="200"/>
              <w:rPr>
                <w:lang w:val="en-US"/>
              </w:rPr>
            </w:pPr>
            <w:r w:rsidRPr="002F3885">
              <w:rPr>
                <w:lang w:val="en-US"/>
              </w:rPr>
              <w:t xml:space="preserve">Net finance </w:t>
            </w:r>
            <w:r>
              <w:rPr>
                <w:lang w:val="en-US"/>
              </w:rPr>
              <w:t>income</w:t>
            </w:r>
            <w:r w:rsidRPr="002F3885">
              <w:rPr>
                <w:lang w:val="en-US"/>
              </w:rPr>
              <w:tab/>
            </w:r>
          </w:p>
        </w:tc>
        <w:tc>
          <w:tcPr>
            <w:tcW w:w="463" w:type="pct"/>
            <w:vAlign w:val="bottom"/>
          </w:tcPr>
          <w:p w14:paraId="78DBC0F2"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218600D2"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(19)</w:t>
            </w:r>
          </w:p>
        </w:tc>
        <w:tc>
          <w:tcPr>
            <w:tcW w:w="704" w:type="pct"/>
            <w:vAlign w:val="bottom"/>
          </w:tcPr>
          <w:p w14:paraId="2CDA4A56"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(42)</w:t>
            </w:r>
          </w:p>
        </w:tc>
        <w:tc>
          <w:tcPr>
            <w:tcW w:w="662" w:type="pct"/>
            <w:vAlign w:val="bottom"/>
          </w:tcPr>
          <w:p w14:paraId="4D629B1C"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(67)</w:t>
            </w:r>
          </w:p>
        </w:tc>
      </w:tr>
      <w:tr w:rsidR="00163EE8" w:rsidRPr="002F3885" w14:paraId="7F5FFF34" w14:textId="77777777">
        <w:trPr>
          <w:cantSplit/>
          <w:trHeight w:val="257"/>
          <w:jc w:val="center"/>
        </w:trPr>
        <w:tc>
          <w:tcPr>
            <w:tcW w:w="2445" w:type="pct"/>
          </w:tcPr>
          <w:p w14:paraId="2CCD0929"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Foreign exchange</w:t>
            </w:r>
            <w:r w:rsidRPr="002F3885">
              <w:rPr>
                <w:lang w:val="en-US"/>
              </w:rPr>
              <w:tab/>
            </w:r>
          </w:p>
        </w:tc>
        <w:tc>
          <w:tcPr>
            <w:tcW w:w="463" w:type="pct"/>
            <w:vAlign w:val="bottom"/>
          </w:tcPr>
          <w:p w14:paraId="50E52443"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01AD0B4A" w14:textId="77777777" w:rsidR="00163EE8" w:rsidRDefault="001E00BD" w:rsidP="0032225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w:t>
            </w:r>
            <w:r w:rsidR="00322257">
              <w:rPr>
                <w:lang w:val="en-US"/>
              </w:rPr>
              <w:t>0</w:t>
            </w:r>
            <w:r>
              <w:rPr>
                <w:lang w:val="en-US"/>
              </w:rPr>
              <w:t>2</w:t>
            </w:r>
          </w:p>
        </w:tc>
        <w:tc>
          <w:tcPr>
            <w:tcW w:w="704" w:type="pct"/>
            <w:vAlign w:val="bottom"/>
          </w:tcPr>
          <w:p w14:paraId="6696CD67" w14:textId="77777777" w:rsidR="00163EE8"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153</w:t>
            </w:r>
          </w:p>
        </w:tc>
        <w:tc>
          <w:tcPr>
            <w:tcW w:w="662" w:type="pct"/>
            <w:vAlign w:val="bottom"/>
          </w:tcPr>
          <w:p w14:paraId="4252D91D" w14:textId="77777777" w:rsidR="00163EE8" w:rsidRPr="002F3885" w:rsidRDefault="00625949"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41</w:t>
            </w:r>
          </w:p>
        </w:tc>
      </w:tr>
      <w:tr w:rsidR="00163EE8" w:rsidRPr="002F3885" w14:paraId="51D6CA4F" w14:textId="77777777">
        <w:trPr>
          <w:cantSplit/>
          <w:trHeight w:val="456"/>
          <w:jc w:val="center"/>
        </w:trPr>
        <w:tc>
          <w:tcPr>
            <w:tcW w:w="2445" w:type="pct"/>
          </w:tcPr>
          <w:p w14:paraId="20CE6DA5" w14:textId="77777777" w:rsidR="00163EE8" w:rsidRDefault="00163EE8" w:rsidP="009D1134">
            <w:pPr>
              <w:widowControl/>
              <w:tabs>
                <w:tab w:val="right" w:leader="dot" w:pos="3820"/>
              </w:tabs>
              <w:suppressAutoHyphens/>
              <w:ind w:left="200" w:hanging="200"/>
              <w:rPr>
                <w:b/>
                <w:bCs/>
                <w:lang w:val="en-US"/>
              </w:rPr>
            </w:pPr>
          </w:p>
          <w:p w14:paraId="2A51213E" w14:textId="77777777" w:rsidR="00163EE8" w:rsidRPr="002F3885" w:rsidRDefault="00163EE8" w:rsidP="009D1134">
            <w:pPr>
              <w:widowControl/>
              <w:tabs>
                <w:tab w:val="right" w:leader="dot" w:pos="3820"/>
              </w:tabs>
              <w:suppressAutoHyphens/>
              <w:ind w:left="200" w:hanging="200"/>
              <w:rPr>
                <w:lang w:val="en-US"/>
              </w:rPr>
            </w:pPr>
            <w:r w:rsidRPr="002F3885">
              <w:rPr>
                <w:b/>
                <w:bCs/>
                <w:lang w:val="en-US"/>
              </w:rPr>
              <w:t>Operating cash flow before movement in working capital</w:t>
            </w:r>
            <w:r>
              <w:rPr>
                <w:b/>
                <w:bCs/>
                <w:lang w:val="en-US"/>
              </w:rPr>
              <w:t xml:space="preserve"> and taxation </w:t>
            </w:r>
            <w:r w:rsidRPr="002F3885">
              <w:rPr>
                <w:lang w:val="en-US"/>
              </w:rPr>
              <w:tab/>
            </w:r>
          </w:p>
        </w:tc>
        <w:tc>
          <w:tcPr>
            <w:tcW w:w="463" w:type="pct"/>
            <w:vAlign w:val="bottom"/>
          </w:tcPr>
          <w:p w14:paraId="05751A40"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787CAABD" w14:textId="77777777" w:rsidR="00163EE8" w:rsidRDefault="001E00BD" w:rsidP="00F5072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w:t>
            </w:r>
            <w:r w:rsidR="00F50721">
              <w:rPr>
                <w:b/>
                <w:bCs/>
                <w:lang w:val="en-US"/>
              </w:rPr>
              <w:t>549</w:t>
            </w:r>
            <w:r>
              <w:rPr>
                <w:b/>
                <w:bCs/>
                <w:lang w:val="en-US"/>
              </w:rPr>
              <w:t>)</w:t>
            </w:r>
          </w:p>
        </w:tc>
        <w:tc>
          <w:tcPr>
            <w:tcW w:w="704" w:type="pct"/>
            <w:vAlign w:val="bottom"/>
          </w:tcPr>
          <w:p w14:paraId="61AF1C47"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(320)</w:t>
            </w:r>
          </w:p>
        </w:tc>
        <w:tc>
          <w:tcPr>
            <w:tcW w:w="662" w:type="pct"/>
            <w:vAlign w:val="bottom"/>
          </w:tcPr>
          <w:p w14:paraId="15DCC74E"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(1,451)</w:t>
            </w:r>
          </w:p>
        </w:tc>
      </w:tr>
      <w:tr w:rsidR="00163EE8" w:rsidRPr="002F3885" w14:paraId="23F79B40" w14:textId="77777777">
        <w:trPr>
          <w:cantSplit/>
          <w:trHeight w:val="274"/>
          <w:jc w:val="center"/>
        </w:trPr>
        <w:tc>
          <w:tcPr>
            <w:tcW w:w="2445" w:type="pct"/>
          </w:tcPr>
          <w:p w14:paraId="381C23C6" w14:textId="77777777" w:rsidR="00163EE8" w:rsidRDefault="00163EE8" w:rsidP="004D6AA2">
            <w:pPr>
              <w:widowControl/>
              <w:tabs>
                <w:tab w:val="right" w:leader="dot" w:pos="3820"/>
              </w:tabs>
              <w:suppressAutoHyphens/>
              <w:spacing w:after="20"/>
              <w:ind w:left="200" w:hanging="200"/>
              <w:rPr>
                <w:lang w:val="en-US"/>
              </w:rPr>
            </w:pPr>
          </w:p>
          <w:p w14:paraId="2A952C10" w14:textId="77777777" w:rsidR="00163EE8" w:rsidRPr="002F3885" w:rsidRDefault="004336FF" w:rsidP="004336FF">
            <w:pPr>
              <w:widowControl/>
              <w:tabs>
                <w:tab w:val="right" w:leader="dot" w:pos="3820"/>
              </w:tabs>
              <w:suppressAutoHyphens/>
              <w:spacing w:after="20"/>
              <w:ind w:left="200" w:hanging="200"/>
              <w:rPr>
                <w:lang w:val="en-US"/>
              </w:rPr>
            </w:pPr>
            <w:r>
              <w:rPr>
                <w:lang w:val="en-US"/>
              </w:rPr>
              <w:t>Decrease/(</w:t>
            </w:r>
            <w:r w:rsidR="00163EE8" w:rsidRPr="002F3885">
              <w:rPr>
                <w:lang w:val="en-US"/>
              </w:rPr>
              <w:t>Increa</w:t>
            </w:r>
            <w:r w:rsidR="00163EE8">
              <w:rPr>
                <w:lang w:val="en-US"/>
              </w:rPr>
              <w:t>se</w:t>
            </w:r>
            <w:r>
              <w:rPr>
                <w:lang w:val="en-US"/>
              </w:rPr>
              <w:t>)</w:t>
            </w:r>
            <w:r w:rsidR="001C4316">
              <w:rPr>
                <w:lang w:val="en-US"/>
              </w:rPr>
              <w:t xml:space="preserve"> </w:t>
            </w:r>
            <w:r w:rsidR="00163EE8" w:rsidRPr="002F3885">
              <w:rPr>
                <w:lang w:val="en-US"/>
              </w:rPr>
              <w:t xml:space="preserve"> in trade and other receivables</w:t>
            </w:r>
            <w:r w:rsidR="00163EE8" w:rsidRPr="002F3885">
              <w:rPr>
                <w:lang w:val="en-US"/>
              </w:rPr>
              <w:tab/>
            </w:r>
          </w:p>
        </w:tc>
        <w:tc>
          <w:tcPr>
            <w:tcW w:w="463" w:type="pct"/>
            <w:vAlign w:val="bottom"/>
          </w:tcPr>
          <w:p w14:paraId="37C82014" w14:textId="77777777" w:rsidR="00163EE8" w:rsidRPr="002F3885" w:rsidRDefault="00163EE8" w:rsidP="002C5967">
            <w:pPr>
              <w:tabs>
                <w:tab w:val="left" w:pos="0"/>
                <w:tab w:val="left" w:pos="216"/>
                <w:tab w:val="left" w:pos="432"/>
                <w:tab w:val="left" w:pos="648"/>
                <w:tab w:val="left" w:pos="864"/>
                <w:tab w:val="left" w:pos="1080"/>
                <w:tab w:val="left" w:pos="1296"/>
                <w:tab w:val="left" w:pos="1512"/>
                <w:tab w:val="left" w:pos="1728"/>
                <w:tab w:val="left" w:pos="1944"/>
              </w:tabs>
              <w:jc w:val="center"/>
              <w:rPr>
                <w:lang w:val="en-US"/>
              </w:rPr>
            </w:pPr>
          </w:p>
        </w:tc>
        <w:tc>
          <w:tcPr>
            <w:tcW w:w="726" w:type="pct"/>
            <w:vAlign w:val="bottom"/>
          </w:tcPr>
          <w:p w14:paraId="138376EF" w14:textId="77777777" w:rsidR="00163EE8" w:rsidRDefault="00322257" w:rsidP="009312B5">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196</w:t>
            </w:r>
          </w:p>
        </w:tc>
        <w:tc>
          <w:tcPr>
            <w:tcW w:w="704" w:type="pct"/>
            <w:vAlign w:val="bottom"/>
          </w:tcPr>
          <w:p w14:paraId="3576763B" w14:textId="77777777" w:rsidR="00163EE8" w:rsidRDefault="00163EE8" w:rsidP="00AF5671">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(891)</w:t>
            </w:r>
          </w:p>
        </w:tc>
        <w:tc>
          <w:tcPr>
            <w:tcW w:w="662" w:type="pct"/>
            <w:vAlign w:val="bottom"/>
          </w:tcPr>
          <w:p w14:paraId="1CA2933F" w14:textId="77777777" w:rsidR="00163EE8" w:rsidRPr="002F3885" w:rsidRDefault="00625949" w:rsidP="002C5967">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(187)</w:t>
            </w:r>
          </w:p>
        </w:tc>
      </w:tr>
      <w:tr w:rsidR="00163EE8" w:rsidRPr="002F3885" w14:paraId="324E0F2B" w14:textId="77777777">
        <w:trPr>
          <w:cantSplit/>
          <w:trHeight w:val="239"/>
          <w:jc w:val="center"/>
        </w:trPr>
        <w:tc>
          <w:tcPr>
            <w:tcW w:w="2445" w:type="pct"/>
          </w:tcPr>
          <w:p w14:paraId="6D0BA50A" w14:textId="77777777" w:rsidR="00163EE8" w:rsidRPr="002F3885" w:rsidRDefault="004336FF" w:rsidP="004336FF">
            <w:pPr>
              <w:widowControl/>
              <w:tabs>
                <w:tab w:val="right" w:leader="dot" w:pos="3820"/>
              </w:tabs>
              <w:suppressAutoHyphens/>
              <w:spacing w:after="20"/>
              <w:ind w:left="200" w:hanging="200"/>
              <w:rPr>
                <w:lang w:val="en-US"/>
              </w:rPr>
            </w:pPr>
            <w:r>
              <w:rPr>
                <w:lang w:val="en-US"/>
              </w:rPr>
              <w:t>In</w:t>
            </w:r>
            <w:r w:rsidR="00163EE8">
              <w:rPr>
                <w:lang w:val="en-US"/>
              </w:rPr>
              <w:t>crease/</w:t>
            </w:r>
            <w:r>
              <w:rPr>
                <w:lang w:val="en-US"/>
              </w:rPr>
              <w:t>(De</w:t>
            </w:r>
            <w:r w:rsidR="00163EE8" w:rsidRPr="002F3885">
              <w:rPr>
                <w:lang w:val="en-US"/>
              </w:rPr>
              <w:t>crea</w:t>
            </w:r>
            <w:r w:rsidR="00163EE8">
              <w:rPr>
                <w:lang w:val="en-US"/>
              </w:rPr>
              <w:t>se</w:t>
            </w:r>
            <w:r w:rsidR="0077574B">
              <w:rPr>
                <w:lang w:val="en-US"/>
              </w:rPr>
              <w:t>)</w:t>
            </w:r>
            <w:r w:rsidR="00163EE8">
              <w:rPr>
                <w:lang w:val="en-US"/>
              </w:rPr>
              <w:t xml:space="preserve"> in trade and other payables</w:t>
            </w:r>
            <w:r w:rsidR="00163EE8" w:rsidRPr="002F3885">
              <w:rPr>
                <w:lang w:val="en-US"/>
              </w:rPr>
              <w:tab/>
            </w:r>
          </w:p>
        </w:tc>
        <w:tc>
          <w:tcPr>
            <w:tcW w:w="463" w:type="pct"/>
            <w:vAlign w:val="bottom"/>
          </w:tcPr>
          <w:p w14:paraId="72C752B6" w14:textId="77777777" w:rsidR="00163EE8" w:rsidRPr="002F3885" w:rsidRDefault="00163EE8" w:rsidP="002C5967">
            <w:pPr>
              <w:tabs>
                <w:tab w:val="left" w:pos="0"/>
                <w:tab w:val="left" w:pos="216"/>
                <w:tab w:val="left" w:pos="432"/>
                <w:tab w:val="left" w:pos="648"/>
                <w:tab w:val="left" w:pos="864"/>
                <w:tab w:val="left" w:pos="1080"/>
                <w:tab w:val="left" w:pos="1296"/>
                <w:tab w:val="left" w:pos="1512"/>
                <w:tab w:val="left" w:pos="1728"/>
                <w:tab w:val="left" w:pos="1944"/>
              </w:tabs>
              <w:jc w:val="center"/>
              <w:rPr>
                <w:lang w:val="en-US"/>
              </w:rPr>
            </w:pPr>
          </w:p>
        </w:tc>
        <w:tc>
          <w:tcPr>
            <w:tcW w:w="726" w:type="pct"/>
            <w:vAlign w:val="bottom"/>
          </w:tcPr>
          <w:p w14:paraId="63BD077A" w14:textId="77777777" w:rsidR="00163EE8" w:rsidRDefault="00F50721" w:rsidP="00070F9C">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656</w:t>
            </w:r>
          </w:p>
        </w:tc>
        <w:tc>
          <w:tcPr>
            <w:tcW w:w="704" w:type="pct"/>
            <w:vAlign w:val="bottom"/>
          </w:tcPr>
          <w:p w14:paraId="65D4BACB" w14:textId="77777777" w:rsidR="00163EE8" w:rsidRDefault="00163EE8" w:rsidP="00AF5671">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(466)</w:t>
            </w:r>
          </w:p>
        </w:tc>
        <w:tc>
          <w:tcPr>
            <w:tcW w:w="662" w:type="pct"/>
            <w:vAlign w:val="bottom"/>
          </w:tcPr>
          <w:p w14:paraId="2D0EF808" w14:textId="77777777" w:rsidR="00163EE8" w:rsidRDefault="00625949" w:rsidP="002C5967">
            <w:pPr>
              <w:tabs>
                <w:tab w:val="left" w:pos="0"/>
                <w:tab w:val="left" w:pos="216"/>
                <w:tab w:val="left" w:pos="432"/>
                <w:tab w:val="left" w:pos="648"/>
                <w:tab w:val="left" w:pos="864"/>
                <w:tab w:val="left" w:pos="1080"/>
                <w:tab w:val="left" w:pos="1296"/>
                <w:tab w:val="left" w:pos="1512"/>
                <w:tab w:val="left" w:pos="1728"/>
                <w:tab w:val="left" w:pos="1944"/>
              </w:tabs>
              <w:jc w:val="right"/>
              <w:rPr>
                <w:lang w:val="en-US"/>
              </w:rPr>
            </w:pPr>
            <w:r>
              <w:rPr>
                <w:lang w:val="en-US"/>
              </w:rPr>
              <w:t>(1,214)</w:t>
            </w:r>
          </w:p>
        </w:tc>
      </w:tr>
      <w:tr w:rsidR="00163EE8" w:rsidRPr="002F3885" w14:paraId="6A7EF29D" w14:textId="77777777">
        <w:trPr>
          <w:cantSplit/>
          <w:trHeight w:val="227"/>
          <w:jc w:val="center"/>
        </w:trPr>
        <w:tc>
          <w:tcPr>
            <w:tcW w:w="2445" w:type="pct"/>
          </w:tcPr>
          <w:p w14:paraId="77A8AA4D" w14:textId="77777777" w:rsidR="00163EE8" w:rsidRPr="002C5967" w:rsidRDefault="00163EE8" w:rsidP="002C5967">
            <w:pPr>
              <w:rPr>
                <w:lang w:val="en-US"/>
              </w:rPr>
            </w:pPr>
            <w:r w:rsidRPr="002C5967">
              <w:rPr>
                <w:lang w:val="en-US"/>
              </w:rPr>
              <w:t>Taxation…………………………</w:t>
            </w:r>
            <w:r w:rsidR="001C4316" w:rsidRPr="002C5967">
              <w:rPr>
                <w:lang w:val="en-US"/>
              </w:rPr>
              <w:t>…</w:t>
            </w:r>
            <w:r w:rsidRPr="002C5967">
              <w:rPr>
                <w:lang w:val="en-US"/>
              </w:rPr>
              <w:t>………….</w:t>
            </w:r>
          </w:p>
        </w:tc>
        <w:tc>
          <w:tcPr>
            <w:tcW w:w="463" w:type="pct"/>
            <w:vAlign w:val="bottom"/>
          </w:tcPr>
          <w:p w14:paraId="1C9A4955" w14:textId="77777777" w:rsidR="00163EE8" w:rsidRPr="002F3885" w:rsidRDefault="00163EE8" w:rsidP="002C5967">
            <w:pPr>
              <w:jc w:val="center"/>
              <w:rPr>
                <w:lang w:val="en-US"/>
              </w:rPr>
            </w:pPr>
          </w:p>
        </w:tc>
        <w:tc>
          <w:tcPr>
            <w:tcW w:w="726" w:type="pct"/>
            <w:vAlign w:val="bottom"/>
          </w:tcPr>
          <w:p w14:paraId="65FBF102" w14:textId="77777777" w:rsidR="00163EE8" w:rsidRPr="002C5967" w:rsidRDefault="001E00BD" w:rsidP="002C5967">
            <w:pPr>
              <w:jc w:val="right"/>
              <w:rPr>
                <w:lang w:val="en-US"/>
              </w:rPr>
            </w:pPr>
            <w:r>
              <w:rPr>
                <w:lang w:val="en-US"/>
              </w:rPr>
              <w:t>-</w:t>
            </w:r>
          </w:p>
        </w:tc>
        <w:tc>
          <w:tcPr>
            <w:tcW w:w="704" w:type="pct"/>
            <w:vAlign w:val="bottom"/>
          </w:tcPr>
          <w:p w14:paraId="0D59BD3C" w14:textId="77777777" w:rsidR="00163EE8" w:rsidRPr="002C5967" w:rsidRDefault="00163EE8" w:rsidP="00AF5671">
            <w:pPr>
              <w:jc w:val="right"/>
              <w:rPr>
                <w:lang w:val="en-US"/>
              </w:rPr>
            </w:pPr>
            <w:r>
              <w:rPr>
                <w:lang w:val="en-US"/>
              </w:rPr>
              <w:t>40</w:t>
            </w:r>
          </w:p>
        </w:tc>
        <w:tc>
          <w:tcPr>
            <w:tcW w:w="662" w:type="pct"/>
            <w:vAlign w:val="bottom"/>
          </w:tcPr>
          <w:p w14:paraId="46BD62AA" w14:textId="77777777" w:rsidR="00163EE8" w:rsidRDefault="00625949" w:rsidP="002C5967">
            <w:pPr>
              <w:jc w:val="right"/>
              <w:rPr>
                <w:lang w:val="en-US"/>
              </w:rPr>
            </w:pPr>
            <w:r>
              <w:rPr>
                <w:lang w:val="en-US"/>
              </w:rPr>
              <w:t>85</w:t>
            </w:r>
          </w:p>
        </w:tc>
      </w:tr>
      <w:tr w:rsidR="00163EE8" w:rsidRPr="002F3885" w14:paraId="46359647" w14:textId="77777777">
        <w:trPr>
          <w:cantSplit/>
          <w:trHeight w:val="227"/>
          <w:jc w:val="center"/>
        </w:trPr>
        <w:tc>
          <w:tcPr>
            <w:tcW w:w="2445" w:type="pct"/>
          </w:tcPr>
          <w:p w14:paraId="232E6F97" w14:textId="77777777" w:rsidR="00163EE8" w:rsidRPr="002F3885" w:rsidRDefault="00163EE8" w:rsidP="00393959">
            <w:pPr>
              <w:widowControl/>
              <w:tabs>
                <w:tab w:val="right" w:leader="dot" w:pos="3820"/>
              </w:tabs>
              <w:suppressAutoHyphens/>
              <w:spacing w:after="20"/>
              <w:ind w:left="200" w:hanging="200"/>
              <w:rPr>
                <w:lang w:val="en-US"/>
              </w:rPr>
            </w:pPr>
          </w:p>
        </w:tc>
        <w:tc>
          <w:tcPr>
            <w:tcW w:w="463" w:type="pct"/>
            <w:vAlign w:val="bottom"/>
          </w:tcPr>
          <w:p w14:paraId="477BC5AD" w14:textId="77777777" w:rsidR="00163EE8" w:rsidRPr="002F3885" w:rsidRDefault="00163EE8" w:rsidP="00393959">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725B652C" w14:textId="77777777" w:rsidR="00163EE8" w:rsidRPr="002F3885" w:rsidRDefault="00163EE8" w:rsidP="0039395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04" w:type="pct"/>
            <w:vAlign w:val="bottom"/>
          </w:tcPr>
          <w:p w14:paraId="37453555"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662" w:type="pct"/>
            <w:vAlign w:val="bottom"/>
          </w:tcPr>
          <w:p w14:paraId="751BCA87" w14:textId="77777777" w:rsidR="00163EE8" w:rsidRPr="002F3885" w:rsidRDefault="00163EE8" w:rsidP="0039395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r>
      <w:tr w:rsidR="00163EE8" w:rsidRPr="002F3885" w14:paraId="0FD4330A" w14:textId="77777777">
        <w:trPr>
          <w:cantSplit/>
          <w:trHeight w:val="227"/>
          <w:jc w:val="center"/>
        </w:trPr>
        <w:tc>
          <w:tcPr>
            <w:tcW w:w="2445" w:type="pct"/>
          </w:tcPr>
          <w:p w14:paraId="10D2F7BD" w14:textId="77777777" w:rsidR="00163EE8" w:rsidRDefault="00163EE8" w:rsidP="00393959">
            <w:pPr>
              <w:widowControl/>
              <w:tabs>
                <w:tab w:val="right" w:leader="dot" w:pos="3820"/>
              </w:tabs>
              <w:suppressAutoHyphens/>
              <w:ind w:left="200" w:hanging="200"/>
              <w:rPr>
                <w:b/>
                <w:bCs/>
                <w:lang w:val="en-US"/>
              </w:rPr>
            </w:pPr>
          </w:p>
          <w:p w14:paraId="0876CE41" w14:textId="77777777" w:rsidR="00163EE8" w:rsidRPr="002F3885" w:rsidRDefault="00A74913" w:rsidP="00A74913">
            <w:pPr>
              <w:widowControl/>
              <w:tabs>
                <w:tab w:val="right" w:leader="dot" w:pos="3820"/>
              </w:tabs>
              <w:suppressAutoHyphens/>
              <w:ind w:left="200" w:hanging="200"/>
              <w:rPr>
                <w:lang w:val="en-US"/>
              </w:rPr>
            </w:pPr>
            <w:r>
              <w:rPr>
                <w:b/>
                <w:bCs/>
                <w:lang w:val="en-US"/>
              </w:rPr>
              <w:t>Net cash flows</w:t>
            </w:r>
            <w:r w:rsidR="00163EE8" w:rsidRPr="002F3885">
              <w:rPr>
                <w:b/>
                <w:bCs/>
                <w:lang w:val="en-US"/>
              </w:rPr>
              <w:t xml:space="preserve"> from operations</w:t>
            </w:r>
            <w:r w:rsidR="00163EE8" w:rsidRPr="002F3885">
              <w:rPr>
                <w:lang w:val="en-US"/>
              </w:rPr>
              <w:tab/>
            </w:r>
          </w:p>
        </w:tc>
        <w:tc>
          <w:tcPr>
            <w:tcW w:w="463" w:type="pct"/>
            <w:vAlign w:val="bottom"/>
          </w:tcPr>
          <w:p w14:paraId="50D336C1" w14:textId="77777777" w:rsidR="00163EE8" w:rsidRPr="002F3885" w:rsidRDefault="00163EE8" w:rsidP="003939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51E86B38" w14:textId="77777777" w:rsidR="00163EE8" w:rsidRDefault="001E00BD" w:rsidP="003222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(6</w:t>
            </w:r>
            <w:r w:rsidR="00322257">
              <w:rPr>
                <w:b/>
                <w:bCs/>
                <w:lang w:val="en-US"/>
              </w:rPr>
              <w:t>97</w:t>
            </w:r>
            <w:r>
              <w:rPr>
                <w:b/>
                <w:bCs/>
                <w:lang w:val="en-US"/>
              </w:rPr>
              <w:t>)</w:t>
            </w:r>
          </w:p>
        </w:tc>
        <w:tc>
          <w:tcPr>
            <w:tcW w:w="704" w:type="pct"/>
            <w:vAlign w:val="bottom"/>
          </w:tcPr>
          <w:p w14:paraId="5C662CC4"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(1,637)</w:t>
            </w:r>
          </w:p>
        </w:tc>
        <w:tc>
          <w:tcPr>
            <w:tcW w:w="662" w:type="pct"/>
            <w:vAlign w:val="bottom"/>
          </w:tcPr>
          <w:p w14:paraId="56D04AD8" w14:textId="77777777" w:rsidR="00163EE8" w:rsidRDefault="00625949" w:rsidP="0039395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(2,767)</w:t>
            </w:r>
          </w:p>
        </w:tc>
      </w:tr>
      <w:tr w:rsidR="002B3815" w:rsidRPr="002F3885" w14:paraId="54B75CCD" w14:textId="77777777">
        <w:trPr>
          <w:cantSplit/>
          <w:trHeight w:val="227"/>
          <w:jc w:val="center"/>
        </w:trPr>
        <w:tc>
          <w:tcPr>
            <w:tcW w:w="2445" w:type="pct"/>
          </w:tcPr>
          <w:p w14:paraId="5AB6AFB1"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lang w:val="en-US"/>
              </w:rPr>
            </w:pPr>
          </w:p>
        </w:tc>
        <w:tc>
          <w:tcPr>
            <w:tcW w:w="463" w:type="pct"/>
            <w:vAlign w:val="bottom"/>
          </w:tcPr>
          <w:p w14:paraId="2D7F07D2"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7D5BDA0D"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47C931F6"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0C8E9358" w14:textId="77777777" w:rsidR="002B3815" w:rsidRPr="002F3885" w:rsidRDefault="002B381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2B3815" w:rsidRPr="002F3885" w14:paraId="1C923D1D" w14:textId="77777777">
        <w:trPr>
          <w:cantSplit/>
          <w:trHeight w:val="227"/>
          <w:jc w:val="center"/>
        </w:trPr>
        <w:tc>
          <w:tcPr>
            <w:tcW w:w="2445" w:type="pct"/>
          </w:tcPr>
          <w:p w14:paraId="19700967"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Cash flow from investing activities</w:t>
            </w:r>
          </w:p>
        </w:tc>
        <w:tc>
          <w:tcPr>
            <w:tcW w:w="463" w:type="pct"/>
            <w:vAlign w:val="bottom"/>
          </w:tcPr>
          <w:p w14:paraId="7A258197"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0BE98182"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181A1140" w14:textId="77777777" w:rsidR="002B3815" w:rsidRPr="002F3885" w:rsidRDefault="002B381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3B14807E" w14:textId="77777777" w:rsidR="002B3815" w:rsidRPr="002F3885" w:rsidRDefault="002B381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625949" w:rsidRPr="002F3885" w14:paraId="78BA6DAA" w14:textId="77777777" w:rsidTr="009E7D9B">
        <w:trPr>
          <w:cantSplit/>
          <w:trHeight w:val="227"/>
          <w:jc w:val="center"/>
        </w:trPr>
        <w:tc>
          <w:tcPr>
            <w:tcW w:w="2445" w:type="pct"/>
          </w:tcPr>
          <w:p w14:paraId="313F451F" w14:textId="77777777" w:rsidR="00625949" w:rsidRPr="002F3885" w:rsidRDefault="00625949" w:rsidP="009E7D9B">
            <w:pPr>
              <w:widowControl/>
              <w:tabs>
                <w:tab w:val="right" w:leader="dot" w:pos="3820"/>
              </w:tabs>
              <w:suppressAutoHyphens/>
              <w:ind w:left="200" w:hanging="200"/>
              <w:rPr>
                <w:lang w:val="en-US"/>
              </w:rPr>
            </w:pPr>
            <w:r>
              <w:rPr>
                <w:lang w:val="en-US"/>
              </w:rPr>
              <w:t>Interest received</w:t>
            </w:r>
            <w:r w:rsidRPr="002F3885">
              <w:rPr>
                <w:lang w:val="en-US"/>
              </w:rPr>
              <w:tab/>
            </w:r>
          </w:p>
        </w:tc>
        <w:tc>
          <w:tcPr>
            <w:tcW w:w="463" w:type="pct"/>
            <w:vAlign w:val="bottom"/>
          </w:tcPr>
          <w:p w14:paraId="634B89F4"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63F851B8" w14:textId="77777777" w:rsidR="00625949" w:rsidRDefault="001E00BD"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19</w:t>
            </w:r>
          </w:p>
        </w:tc>
        <w:tc>
          <w:tcPr>
            <w:tcW w:w="704" w:type="pct"/>
            <w:vAlign w:val="bottom"/>
          </w:tcPr>
          <w:p w14:paraId="4863F841" w14:textId="77777777" w:rsidR="00625949"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42</w:t>
            </w:r>
          </w:p>
        </w:tc>
        <w:tc>
          <w:tcPr>
            <w:tcW w:w="662" w:type="pct"/>
            <w:vAlign w:val="bottom"/>
          </w:tcPr>
          <w:p w14:paraId="3E37AB7B" w14:textId="77777777" w:rsidR="00625949" w:rsidRPr="002F3885" w:rsidRDefault="00625949"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67</w:t>
            </w:r>
          </w:p>
        </w:tc>
      </w:tr>
      <w:tr w:rsidR="00163EE8" w:rsidRPr="002F3885" w14:paraId="43F744A6" w14:textId="77777777">
        <w:trPr>
          <w:cantSplit/>
          <w:trHeight w:val="227"/>
          <w:jc w:val="center"/>
        </w:trPr>
        <w:tc>
          <w:tcPr>
            <w:tcW w:w="2445" w:type="pct"/>
          </w:tcPr>
          <w:p w14:paraId="230E06C0" w14:textId="77777777" w:rsidR="00163EE8" w:rsidRPr="002F3885" w:rsidRDefault="00163EE8" w:rsidP="009D1134">
            <w:pPr>
              <w:widowControl/>
              <w:tabs>
                <w:tab w:val="right" w:leader="dot" w:pos="3820"/>
              </w:tabs>
              <w:suppressAutoHyphens/>
              <w:ind w:left="200" w:hanging="200"/>
              <w:rPr>
                <w:lang w:val="en-US"/>
              </w:rPr>
            </w:pPr>
            <w:r w:rsidRPr="002F3885">
              <w:rPr>
                <w:lang w:val="en-US"/>
              </w:rPr>
              <w:t>Purchase of intangible fixed assets</w:t>
            </w:r>
            <w:r w:rsidRPr="002F3885">
              <w:rPr>
                <w:lang w:val="en-US"/>
              </w:rPr>
              <w:tab/>
            </w:r>
          </w:p>
        </w:tc>
        <w:tc>
          <w:tcPr>
            <w:tcW w:w="463" w:type="pct"/>
            <w:vAlign w:val="bottom"/>
          </w:tcPr>
          <w:p w14:paraId="6C25AE1E"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7C95A1D7"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(2,029)</w:t>
            </w:r>
          </w:p>
        </w:tc>
        <w:tc>
          <w:tcPr>
            <w:tcW w:w="704" w:type="pct"/>
            <w:vAlign w:val="bottom"/>
          </w:tcPr>
          <w:p w14:paraId="136EB982"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(1,030)</w:t>
            </w:r>
          </w:p>
        </w:tc>
        <w:tc>
          <w:tcPr>
            <w:tcW w:w="662" w:type="pct"/>
            <w:vAlign w:val="bottom"/>
          </w:tcPr>
          <w:p w14:paraId="19CF6235"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(2,892)</w:t>
            </w:r>
          </w:p>
        </w:tc>
      </w:tr>
      <w:tr w:rsidR="00163EE8" w:rsidRPr="002F3885" w14:paraId="2E8DACD0" w14:textId="77777777">
        <w:trPr>
          <w:cantSplit/>
          <w:trHeight w:val="257"/>
          <w:jc w:val="center"/>
        </w:trPr>
        <w:tc>
          <w:tcPr>
            <w:tcW w:w="2445" w:type="pct"/>
          </w:tcPr>
          <w:p w14:paraId="00117365"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Purchases of property, plant and equipment</w:t>
            </w:r>
            <w:r w:rsidRPr="002F3885">
              <w:rPr>
                <w:lang w:val="en-US"/>
              </w:rPr>
              <w:tab/>
            </w:r>
          </w:p>
        </w:tc>
        <w:tc>
          <w:tcPr>
            <w:tcW w:w="463" w:type="pct"/>
            <w:vAlign w:val="bottom"/>
          </w:tcPr>
          <w:p w14:paraId="38848A10"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4FB14D46" w14:textId="77777777" w:rsidR="00163EE8" w:rsidRDefault="001E00BD"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(369)</w:t>
            </w:r>
          </w:p>
        </w:tc>
        <w:tc>
          <w:tcPr>
            <w:tcW w:w="704" w:type="pct"/>
            <w:vAlign w:val="bottom"/>
          </w:tcPr>
          <w:p w14:paraId="5FEE4627" w14:textId="77777777" w:rsidR="00163EE8"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(222)</w:t>
            </w:r>
          </w:p>
        </w:tc>
        <w:tc>
          <w:tcPr>
            <w:tcW w:w="662" w:type="pct"/>
            <w:vAlign w:val="bottom"/>
          </w:tcPr>
          <w:p w14:paraId="53062A32" w14:textId="77777777" w:rsidR="00163EE8" w:rsidRPr="002F3885" w:rsidRDefault="00625949"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(568)</w:t>
            </w:r>
          </w:p>
        </w:tc>
      </w:tr>
      <w:tr w:rsidR="00163EE8" w:rsidRPr="002F3885" w14:paraId="2EEBB327" w14:textId="77777777">
        <w:trPr>
          <w:cantSplit/>
          <w:trHeight w:val="227"/>
          <w:jc w:val="center"/>
        </w:trPr>
        <w:tc>
          <w:tcPr>
            <w:tcW w:w="2445" w:type="pct"/>
          </w:tcPr>
          <w:p w14:paraId="0C2B6994" w14:textId="77777777" w:rsidR="00163EE8" w:rsidRPr="002F3885" w:rsidRDefault="00163EE8" w:rsidP="009D1134">
            <w:pPr>
              <w:widowControl/>
              <w:tabs>
                <w:tab w:val="right" w:leader="dot" w:pos="3820"/>
              </w:tabs>
              <w:suppressAutoHyphens/>
              <w:ind w:left="200" w:hanging="200"/>
              <w:rPr>
                <w:lang w:val="en-US"/>
              </w:rPr>
            </w:pPr>
            <w:r w:rsidRPr="002F3885">
              <w:rPr>
                <w:b/>
                <w:bCs/>
                <w:lang w:val="en-US"/>
              </w:rPr>
              <w:t>Net cash used in investing activities</w:t>
            </w:r>
            <w:r w:rsidRPr="002F3885">
              <w:rPr>
                <w:lang w:val="en-US"/>
              </w:rPr>
              <w:tab/>
            </w:r>
          </w:p>
        </w:tc>
        <w:tc>
          <w:tcPr>
            <w:tcW w:w="463" w:type="pct"/>
            <w:vAlign w:val="bottom"/>
          </w:tcPr>
          <w:p w14:paraId="787E0736"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15E7A884"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(2,379)</w:t>
            </w:r>
          </w:p>
        </w:tc>
        <w:tc>
          <w:tcPr>
            <w:tcW w:w="704" w:type="pct"/>
            <w:vAlign w:val="bottom"/>
          </w:tcPr>
          <w:p w14:paraId="73389A34" w14:textId="77777777" w:rsidR="00163EE8" w:rsidRDefault="00163EE8" w:rsidP="00593F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(1,2</w:t>
            </w:r>
            <w:r w:rsidR="00593F57">
              <w:rPr>
                <w:b/>
                <w:bCs/>
                <w:lang w:val="en-US"/>
              </w:rPr>
              <w:t>10</w:t>
            </w:r>
            <w:r>
              <w:rPr>
                <w:b/>
                <w:bCs/>
                <w:lang w:val="en-US"/>
              </w:rPr>
              <w:t>)</w:t>
            </w:r>
          </w:p>
        </w:tc>
        <w:tc>
          <w:tcPr>
            <w:tcW w:w="662" w:type="pct"/>
            <w:vAlign w:val="bottom"/>
          </w:tcPr>
          <w:p w14:paraId="5D80BD51" w14:textId="77777777" w:rsidR="00163EE8" w:rsidRPr="002F3885" w:rsidRDefault="00625949" w:rsidP="0062594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(3,393)</w:t>
            </w:r>
          </w:p>
        </w:tc>
      </w:tr>
      <w:tr w:rsidR="00A74913" w:rsidRPr="002F3885" w14:paraId="7B329F99" w14:textId="77777777">
        <w:trPr>
          <w:cantSplit/>
          <w:trHeight w:val="227"/>
          <w:jc w:val="center"/>
        </w:trPr>
        <w:tc>
          <w:tcPr>
            <w:tcW w:w="2445" w:type="pct"/>
          </w:tcPr>
          <w:p w14:paraId="2344BA22" w14:textId="77777777" w:rsidR="00A74913" w:rsidRPr="002F3885" w:rsidRDefault="00A74913"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bCs/>
                <w:lang w:val="en-US"/>
              </w:rPr>
            </w:pPr>
          </w:p>
        </w:tc>
        <w:tc>
          <w:tcPr>
            <w:tcW w:w="463" w:type="pct"/>
            <w:vAlign w:val="bottom"/>
          </w:tcPr>
          <w:p w14:paraId="1EA57176" w14:textId="77777777" w:rsidR="00A74913" w:rsidRPr="002F3885" w:rsidRDefault="00A74913"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4BFE7DCE" w14:textId="77777777" w:rsidR="00A74913" w:rsidRPr="002F3885" w:rsidRDefault="00A74913"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7D2D1BAD" w14:textId="77777777" w:rsidR="00A74913" w:rsidRPr="002F3885" w:rsidRDefault="00A74913"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468BC5DE" w14:textId="77777777" w:rsidR="00A74913" w:rsidRPr="002F3885" w:rsidRDefault="00A74913"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4A5F4972" w14:textId="77777777">
        <w:trPr>
          <w:cantSplit/>
          <w:trHeight w:val="227"/>
          <w:jc w:val="center"/>
        </w:trPr>
        <w:tc>
          <w:tcPr>
            <w:tcW w:w="2445" w:type="pct"/>
          </w:tcPr>
          <w:p w14:paraId="6021BB7F"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b/>
                <w:bCs/>
                <w:lang w:val="en-US"/>
              </w:rPr>
              <w:t>Cash flow from financing activities</w:t>
            </w:r>
          </w:p>
        </w:tc>
        <w:tc>
          <w:tcPr>
            <w:tcW w:w="463" w:type="pct"/>
            <w:vAlign w:val="bottom"/>
          </w:tcPr>
          <w:p w14:paraId="0922EE5A"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1C1EA5CD"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04" w:type="pct"/>
            <w:vAlign w:val="bottom"/>
          </w:tcPr>
          <w:p w14:paraId="5ECB584D"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662" w:type="pct"/>
            <w:vAlign w:val="bottom"/>
          </w:tcPr>
          <w:p w14:paraId="3A076FF8" w14:textId="77777777" w:rsidR="00163EE8" w:rsidRPr="002F3885" w:rsidRDefault="00163EE8"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795899C8" w14:textId="77777777">
        <w:trPr>
          <w:cantSplit/>
          <w:trHeight w:val="227"/>
          <w:jc w:val="center"/>
        </w:trPr>
        <w:tc>
          <w:tcPr>
            <w:tcW w:w="2445" w:type="pct"/>
          </w:tcPr>
          <w:p w14:paraId="449177C6" w14:textId="77777777" w:rsidR="00163EE8" w:rsidRPr="002F3885" w:rsidRDefault="00163EE8" w:rsidP="009D1134">
            <w:pPr>
              <w:widowControl/>
              <w:tabs>
                <w:tab w:val="right" w:leader="dot" w:pos="3820"/>
              </w:tabs>
              <w:suppressAutoHyphens/>
              <w:ind w:left="200" w:hanging="200"/>
              <w:rPr>
                <w:lang w:val="en-US"/>
              </w:rPr>
            </w:pPr>
            <w:r>
              <w:rPr>
                <w:lang w:val="en-US"/>
              </w:rPr>
              <w:t>Net p</w:t>
            </w:r>
            <w:r w:rsidRPr="002F3885">
              <w:rPr>
                <w:lang w:val="en-US"/>
              </w:rPr>
              <w:t>roceeds on issue of shares</w:t>
            </w:r>
            <w:r w:rsidRPr="002F3885">
              <w:rPr>
                <w:lang w:val="en-US"/>
              </w:rPr>
              <w:tab/>
            </w:r>
          </w:p>
        </w:tc>
        <w:tc>
          <w:tcPr>
            <w:tcW w:w="463" w:type="pct"/>
            <w:vAlign w:val="bottom"/>
          </w:tcPr>
          <w:p w14:paraId="1BACCD36" w14:textId="77777777" w:rsidR="00163EE8" w:rsidRPr="002F3885" w:rsidRDefault="00163EE8" w:rsidP="000E2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4F4941C5" w14:textId="77777777" w:rsidR="00163EE8" w:rsidRDefault="001E00BD" w:rsidP="00B9377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704" w:type="pct"/>
            <w:vAlign w:val="bottom"/>
          </w:tcPr>
          <w:p w14:paraId="486D0266"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43</w:t>
            </w:r>
          </w:p>
        </w:tc>
        <w:tc>
          <w:tcPr>
            <w:tcW w:w="662" w:type="pct"/>
            <w:vAlign w:val="bottom"/>
          </w:tcPr>
          <w:p w14:paraId="1901E91C"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48</w:t>
            </w:r>
          </w:p>
        </w:tc>
      </w:tr>
      <w:tr w:rsidR="00163EE8" w:rsidRPr="002F3885" w14:paraId="64BD11A8" w14:textId="77777777">
        <w:trPr>
          <w:cantSplit/>
          <w:trHeight w:val="257"/>
          <w:jc w:val="center"/>
        </w:trPr>
        <w:tc>
          <w:tcPr>
            <w:tcW w:w="2445" w:type="pct"/>
          </w:tcPr>
          <w:p w14:paraId="571079DA" w14:textId="77777777" w:rsidR="00163EE8" w:rsidRPr="002F3885" w:rsidRDefault="00163EE8" w:rsidP="009D1134">
            <w:pPr>
              <w:widowControl/>
              <w:tabs>
                <w:tab w:val="right" w:leader="dot" w:pos="3820"/>
              </w:tabs>
              <w:suppressAutoHyphens/>
              <w:spacing w:after="20"/>
              <w:ind w:left="200" w:hanging="200"/>
              <w:rPr>
                <w:lang w:val="en-US"/>
              </w:rPr>
            </w:pPr>
          </w:p>
        </w:tc>
        <w:tc>
          <w:tcPr>
            <w:tcW w:w="463" w:type="pct"/>
            <w:vAlign w:val="bottom"/>
          </w:tcPr>
          <w:p w14:paraId="2E1F8520"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0A42E9CE" w14:textId="77777777" w:rsidR="00163EE8" w:rsidRDefault="00163EE8"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04" w:type="pct"/>
            <w:vAlign w:val="bottom"/>
          </w:tcPr>
          <w:p w14:paraId="44103AC2" w14:textId="77777777" w:rsidR="00163EE8"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662" w:type="pct"/>
            <w:vAlign w:val="bottom"/>
          </w:tcPr>
          <w:p w14:paraId="3DAB03C9" w14:textId="77777777" w:rsidR="00163EE8" w:rsidRPr="002F3885" w:rsidRDefault="00163EE8"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r>
      <w:tr w:rsidR="00163EE8" w:rsidRPr="002F3885" w14:paraId="28CF949C" w14:textId="77777777">
        <w:trPr>
          <w:cantSplit/>
          <w:trHeight w:val="486"/>
          <w:jc w:val="center"/>
        </w:trPr>
        <w:tc>
          <w:tcPr>
            <w:tcW w:w="2445" w:type="pct"/>
          </w:tcPr>
          <w:p w14:paraId="445B397D" w14:textId="77777777" w:rsidR="00163EE8" w:rsidRDefault="00163EE8" w:rsidP="009D1134">
            <w:pPr>
              <w:widowControl/>
              <w:tabs>
                <w:tab w:val="right" w:leader="dot" w:pos="3820"/>
              </w:tabs>
              <w:suppressAutoHyphens/>
              <w:spacing w:after="20"/>
              <w:ind w:left="200" w:hanging="200"/>
              <w:rPr>
                <w:b/>
                <w:bCs/>
                <w:lang w:val="en-US"/>
              </w:rPr>
            </w:pPr>
          </w:p>
          <w:p w14:paraId="7AB959FB" w14:textId="77777777" w:rsidR="00163EE8" w:rsidRPr="002F3885" w:rsidRDefault="00163EE8" w:rsidP="009D1134">
            <w:pPr>
              <w:widowControl/>
              <w:tabs>
                <w:tab w:val="right" w:leader="dot" w:pos="3820"/>
              </w:tabs>
              <w:suppressAutoHyphens/>
              <w:spacing w:after="20"/>
              <w:ind w:left="200" w:hanging="200"/>
              <w:rPr>
                <w:lang w:val="en-US"/>
              </w:rPr>
            </w:pPr>
            <w:r w:rsidRPr="002F3885">
              <w:rPr>
                <w:b/>
                <w:bCs/>
                <w:lang w:val="en-US"/>
              </w:rPr>
              <w:t xml:space="preserve">Net cash </w:t>
            </w:r>
            <w:r>
              <w:rPr>
                <w:b/>
                <w:bCs/>
                <w:lang w:val="en-US"/>
              </w:rPr>
              <w:t>generated from</w:t>
            </w:r>
            <w:r w:rsidRPr="002F3885">
              <w:rPr>
                <w:b/>
                <w:bCs/>
                <w:lang w:val="en-US"/>
              </w:rPr>
              <w:t xml:space="preserve"> financing activities</w:t>
            </w:r>
            <w:r w:rsidRPr="002F3885">
              <w:rPr>
                <w:lang w:val="en-US"/>
              </w:rPr>
              <w:tab/>
            </w:r>
          </w:p>
        </w:tc>
        <w:tc>
          <w:tcPr>
            <w:tcW w:w="463" w:type="pct"/>
            <w:vAlign w:val="bottom"/>
          </w:tcPr>
          <w:p w14:paraId="33BDEFC4"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18A3F62A" w14:textId="77777777" w:rsidR="00163EE8" w:rsidRDefault="001E00BD" w:rsidP="002D5B2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lang w:val="en-US"/>
              </w:rPr>
            </w:pPr>
            <w:r>
              <w:rPr>
                <w:b/>
                <w:bCs/>
                <w:lang w:val="en-US"/>
              </w:rPr>
              <w:t>-</w:t>
            </w:r>
          </w:p>
        </w:tc>
        <w:tc>
          <w:tcPr>
            <w:tcW w:w="704" w:type="pct"/>
            <w:vAlign w:val="bottom"/>
          </w:tcPr>
          <w:p w14:paraId="6527796E" w14:textId="77777777" w:rsidR="00163EE8" w:rsidRDefault="00625949"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lang w:val="en-US"/>
              </w:rPr>
            </w:pPr>
            <w:r>
              <w:rPr>
                <w:b/>
                <w:bCs/>
                <w:lang w:val="en-US"/>
              </w:rPr>
              <w:t>43</w:t>
            </w:r>
          </w:p>
        </w:tc>
        <w:tc>
          <w:tcPr>
            <w:tcW w:w="662" w:type="pct"/>
            <w:vAlign w:val="bottom"/>
          </w:tcPr>
          <w:p w14:paraId="366A5870" w14:textId="77777777" w:rsidR="00163EE8" w:rsidRPr="002F3885" w:rsidRDefault="00625949"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lang w:val="en-US"/>
              </w:rPr>
            </w:pPr>
            <w:r>
              <w:rPr>
                <w:b/>
                <w:bCs/>
                <w:lang w:val="en-US"/>
              </w:rPr>
              <w:t>48</w:t>
            </w:r>
          </w:p>
        </w:tc>
      </w:tr>
      <w:tr w:rsidR="00163EE8" w:rsidRPr="002F3885" w14:paraId="7C51268D" w14:textId="77777777">
        <w:trPr>
          <w:cantSplit/>
          <w:trHeight w:val="456"/>
          <w:jc w:val="center"/>
        </w:trPr>
        <w:tc>
          <w:tcPr>
            <w:tcW w:w="2445" w:type="pct"/>
          </w:tcPr>
          <w:p w14:paraId="3E84E8EF" w14:textId="77777777" w:rsidR="00163EE8" w:rsidRDefault="00163EE8" w:rsidP="009D1134">
            <w:pPr>
              <w:widowControl/>
              <w:tabs>
                <w:tab w:val="right" w:leader="dot" w:pos="3820"/>
              </w:tabs>
              <w:suppressAutoHyphens/>
              <w:ind w:left="200" w:hanging="200"/>
              <w:rPr>
                <w:b/>
                <w:bCs/>
                <w:lang w:val="en-US"/>
              </w:rPr>
            </w:pPr>
          </w:p>
          <w:p w14:paraId="0BE8DE83" w14:textId="77777777" w:rsidR="00163EE8" w:rsidRPr="002F3885" w:rsidRDefault="00A74913" w:rsidP="00A74913">
            <w:pPr>
              <w:widowControl/>
              <w:tabs>
                <w:tab w:val="right" w:leader="dot" w:pos="3820"/>
              </w:tabs>
              <w:suppressAutoHyphens/>
              <w:ind w:left="200" w:hanging="200"/>
              <w:rPr>
                <w:lang w:val="en-US"/>
              </w:rPr>
            </w:pPr>
            <w:r>
              <w:rPr>
                <w:b/>
                <w:bCs/>
                <w:lang w:val="en-US"/>
              </w:rPr>
              <w:t xml:space="preserve">Net </w:t>
            </w:r>
            <w:r w:rsidR="00163EE8">
              <w:rPr>
                <w:b/>
                <w:bCs/>
                <w:lang w:val="en-US"/>
              </w:rPr>
              <w:t>decrease</w:t>
            </w:r>
            <w:r w:rsidR="00163EE8" w:rsidRPr="002F3885">
              <w:rPr>
                <w:b/>
                <w:bCs/>
                <w:lang w:val="en-US"/>
              </w:rPr>
              <w:t xml:space="preserve"> in cash and cash equivalents</w:t>
            </w:r>
            <w:r w:rsidR="00163EE8" w:rsidRPr="002F3885">
              <w:rPr>
                <w:lang w:val="en-US"/>
              </w:rPr>
              <w:tab/>
            </w:r>
          </w:p>
        </w:tc>
        <w:tc>
          <w:tcPr>
            <w:tcW w:w="463" w:type="pct"/>
            <w:vAlign w:val="bottom"/>
          </w:tcPr>
          <w:p w14:paraId="7FACF837"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29BB51C4" w14:textId="77777777" w:rsidR="00163EE8" w:rsidRPr="00F72232" w:rsidRDefault="001E00BD" w:rsidP="0032225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(3,0</w:t>
            </w:r>
            <w:r w:rsidR="00322257">
              <w:rPr>
                <w:b/>
                <w:bCs/>
                <w:lang w:val="en-US"/>
              </w:rPr>
              <w:t>76</w:t>
            </w:r>
            <w:r>
              <w:rPr>
                <w:b/>
                <w:bCs/>
                <w:lang w:val="en-US"/>
              </w:rPr>
              <w:t>)</w:t>
            </w:r>
          </w:p>
        </w:tc>
        <w:tc>
          <w:tcPr>
            <w:tcW w:w="704" w:type="pct"/>
            <w:vAlign w:val="bottom"/>
          </w:tcPr>
          <w:p w14:paraId="123C8261" w14:textId="77777777" w:rsidR="00163EE8" w:rsidRPr="00F72232"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(2,804)</w:t>
            </w:r>
          </w:p>
        </w:tc>
        <w:tc>
          <w:tcPr>
            <w:tcW w:w="662" w:type="pct"/>
            <w:vAlign w:val="bottom"/>
          </w:tcPr>
          <w:p w14:paraId="3662833A" w14:textId="77777777" w:rsidR="00163EE8" w:rsidRPr="00F72232"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b/>
                <w:bCs/>
                <w:lang w:val="en-US"/>
              </w:rPr>
            </w:pPr>
            <w:r>
              <w:rPr>
                <w:b/>
                <w:bCs/>
                <w:lang w:val="en-US"/>
              </w:rPr>
              <w:t>(6,112)</w:t>
            </w:r>
          </w:p>
        </w:tc>
      </w:tr>
      <w:tr w:rsidR="00163EE8" w:rsidRPr="002F3885" w14:paraId="095ABDC1" w14:textId="77777777">
        <w:trPr>
          <w:cantSplit/>
          <w:trHeight w:val="471"/>
          <w:jc w:val="center"/>
        </w:trPr>
        <w:tc>
          <w:tcPr>
            <w:tcW w:w="2445" w:type="pct"/>
          </w:tcPr>
          <w:p w14:paraId="5040F14C" w14:textId="77777777" w:rsidR="00163EE8" w:rsidRDefault="00163EE8" w:rsidP="009D1134">
            <w:pPr>
              <w:widowControl/>
              <w:tabs>
                <w:tab w:val="right" w:leader="dot" w:pos="3820"/>
              </w:tabs>
              <w:suppressAutoHyphens/>
              <w:ind w:left="200" w:hanging="200"/>
              <w:rPr>
                <w:lang w:val="en-US"/>
              </w:rPr>
            </w:pPr>
          </w:p>
          <w:p w14:paraId="6675D709" w14:textId="77777777" w:rsidR="00163EE8" w:rsidRPr="002F3885" w:rsidRDefault="00163EE8" w:rsidP="009D1134">
            <w:pPr>
              <w:widowControl/>
              <w:tabs>
                <w:tab w:val="right" w:leader="dot" w:pos="3820"/>
              </w:tabs>
              <w:suppressAutoHyphens/>
              <w:ind w:left="200" w:hanging="200"/>
              <w:rPr>
                <w:lang w:val="en-US"/>
              </w:rPr>
            </w:pPr>
            <w:r w:rsidRPr="002F3885">
              <w:rPr>
                <w:lang w:val="en-US"/>
              </w:rPr>
              <w:t>Cash and cash equ</w:t>
            </w:r>
            <w:r>
              <w:rPr>
                <w:lang w:val="en-US"/>
              </w:rPr>
              <w:t>ivalents at beginning of period</w:t>
            </w:r>
            <w:r w:rsidRPr="002F3885">
              <w:rPr>
                <w:lang w:val="en-US"/>
              </w:rPr>
              <w:tab/>
            </w:r>
          </w:p>
        </w:tc>
        <w:tc>
          <w:tcPr>
            <w:tcW w:w="463" w:type="pct"/>
            <w:vAlign w:val="bottom"/>
          </w:tcPr>
          <w:p w14:paraId="51C759B9"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lang w:val="en-US"/>
              </w:rPr>
            </w:pPr>
          </w:p>
        </w:tc>
        <w:tc>
          <w:tcPr>
            <w:tcW w:w="726" w:type="pct"/>
            <w:vAlign w:val="bottom"/>
          </w:tcPr>
          <w:p w14:paraId="67C9E5CC" w14:textId="77777777" w:rsidR="00163EE8" w:rsidRDefault="001E00BD"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10,776</w:t>
            </w:r>
          </w:p>
        </w:tc>
        <w:tc>
          <w:tcPr>
            <w:tcW w:w="704" w:type="pct"/>
            <w:vAlign w:val="bottom"/>
          </w:tcPr>
          <w:p w14:paraId="4781A9E9" w14:textId="77777777" w:rsidR="00163EE8"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16,895</w:t>
            </w:r>
          </w:p>
        </w:tc>
        <w:tc>
          <w:tcPr>
            <w:tcW w:w="662" w:type="pct"/>
            <w:vAlign w:val="bottom"/>
          </w:tcPr>
          <w:p w14:paraId="54603193" w14:textId="77777777" w:rsidR="00163EE8" w:rsidRPr="002F3885" w:rsidRDefault="00625949"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16,895</w:t>
            </w:r>
          </w:p>
        </w:tc>
      </w:tr>
      <w:tr w:rsidR="00163EE8" w:rsidRPr="002F3885" w14:paraId="3AAFE88F" w14:textId="77777777">
        <w:trPr>
          <w:cantSplit/>
          <w:trHeight w:val="257"/>
          <w:jc w:val="center"/>
        </w:trPr>
        <w:tc>
          <w:tcPr>
            <w:tcW w:w="2445" w:type="pct"/>
          </w:tcPr>
          <w:p w14:paraId="792E576C" w14:textId="77777777" w:rsidR="00163EE8" w:rsidRPr="002F3885" w:rsidRDefault="00163EE8" w:rsidP="009D1134">
            <w:pPr>
              <w:widowControl/>
              <w:tabs>
                <w:tab w:val="right" w:leader="dot" w:pos="3820"/>
              </w:tabs>
              <w:suppressAutoHyphens/>
              <w:spacing w:after="20"/>
              <w:ind w:left="200" w:hanging="200"/>
              <w:rPr>
                <w:lang w:val="en-US"/>
              </w:rPr>
            </w:pPr>
            <w:r w:rsidRPr="002F3885">
              <w:rPr>
                <w:lang w:val="en-US"/>
              </w:rPr>
              <w:t>Effect of foreign exchange rate changes</w:t>
            </w:r>
            <w:r w:rsidRPr="002F3885">
              <w:rPr>
                <w:lang w:val="en-US"/>
              </w:rPr>
              <w:tab/>
            </w:r>
          </w:p>
        </w:tc>
        <w:tc>
          <w:tcPr>
            <w:tcW w:w="463" w:type="pct"/>
            <w:vAlign w:val="bottom"/>
          </w:tcPr>
          <w:p w14:paraId="01DCC0ED"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lang w:val="en-US"/>
              </w:rPr>
            </w:pPr>
          </w:p>
        </w:tc>
        <w:tc>
          <w:tcPr>
            <w:tcW w:w="726" w:type="pct"/>
            <w:vAlign w:val="bottom"/>
          </w:tcPr>
          <w:p w14:paraId="0CE1ECCA" w14:textId="77777777" w:rsidR="00163EE8" w:rsidRDefault="001E00BD" w:rsidP="00322257">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r w:rsidR="00322257">
              <w:rPr>
                <w:lang w:val="en-US"/>
              </w:rPr>
              <w:t>78</w:t>
            </w:r>
            <w:r>
              <w:rPr>
                <w:lang w:val="en-US"/>
              </w:rPr>
              <w:t>)</w:t>
            </w:r>
          </w:p>
        </w:tc>
        <w:tc>
          <w:tcPr>
            <w:tcW w:w="704" w:type="pct"/>
            <w:vAlign w:val="bottom"/>
          </w:tcPr>
          <w:p w14:paraId="5245A6B3" w14:textId="77777777" w:rsidR="00163EE8"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(58)</w:t>
            </w:r>
          </w:p>
        </w:tc>
        <w:tc>
          <w:tcPr>
            <w:tcW w:w="662" w:type="pct"/>
            <w:vAlign w:val="bottom"/>
          </w:tcPr>
          <w:p w14:paraId="5518FD07" w14:textId="77777777" w:rsidR="00163EE8" w:rsidRPr="002F3885" w:rsidRDefault="00625949"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(7)</w:t>
            </w:r>
          </w:p>
        </w:tc>
      </w:tr>
      <w:tr w:rsidR="00163EE8" w:rsidRPr="002F3885" w14:paraId="52EE649B" w14:textId="77777777">
        <w:trPr>
          <w:cantSplit/>
          <w:trHeight w:val="501"/>
          <w:jc w:val="center"/>
        </w:trPr>
        <w:tc>
          <w:tcPr>
            <w:tcW w:w="2445" w:type="pct"/>
          </w:tcPr>
          <w:p w14:paraId="097988D3" w14:textId="77777777" w:rsidR="00163EE8" w:rsidRDefault="00163EE8" w:rsidP="009D1134">
            <w:pPr>
              <w:widowControl/>
              <w:tabs>
                <w:tab w:val="right" w:leader="dot" w:pos="3820"/>
              </w:tabs>
              <w:suppressAutoHyphens/>
              <w:spacing w:after="40"/>
              <w:ind w:left="200" w:hanging="200"/>
              <w:rPr>
                <w:b/>
                <w:bCs/>
                <w:lang w:val="en-US"/>
              </w:rPr>
            </w:pPr>
          </w:p>
          <w:p w14:paraId="1682B616" w14:textId="77777777" w:rsidR="00163EE8" w:rsidRPr="002F3885" w:rsidRDefault="00163EE8" w:rsidP="009D1134">
            <w:pPr>
              <w:widowControl/>
              <w:tabs>
                <w:tab w:val="right" w:leader="dot" w:pos="3820"/>
              </w:tabs>
              <w:suppressAutoHyphens/>
              <w:spacing w:after="40"/>
              <w:ind w:left="200" w:hanging="200"/>
              <w:rPr>
                <w:lang w:val="en-US"/>
              </w:rPr>
            </w:pPr>
            <w:r w:rsidRPr="002F3885">
              <w:rPr>
                <w:b/>
                <w:bCs/>
                <w:lang w:val="en-US"/>
              </w:rPr>
              <w:t>Cash and cash eq</w:t>
            </w:r>
            <w:r w:rsidR="00D4283E">
              <w:rPr>
                <w:b/>
                <w:bCs/>
                <w:lang w:val="en-US"/>
              </w:rPr>
              <w:t>uivalents at end of period</w:t>
            </w:r>
          </w:p>
        </w:tc>
        <w:tc>
          <w:tcPr>
            <w:tcW w:w="463" w:type="pct"/>
            <w:vAlign w:val="bottom"/>
          </w:tcPr>
          <w:p w14:paraId="2F901CA5" w14:textId="77777777" w:rsidR="00163EE8" w:rsidRPr="002F3885" w:rsidRDefault="00163EE8" w:rsidP="000E2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center"/>
              <w:rPr>
                <w:b/>
                <w:bCs/>
                <w:lang w:val="en-US"/>
              </w:rPr>
            </w:pPr>
          </w:p>
        </w:tc>
        <w:tc>
          <w:tcPr>
            <w:tcW w:w="726" w:type="pct"/>
            <w:vAlign w:val="bottom"/>
          </w:tcPr>
          <w:p w14:paraId="46A7B7B0" w14:textId="77777777" w:rsidR="00163EE8" w:rsidRDefault="001E00BD" w:rsidP="00322257">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7,</w:t>
            </w:r>
            <w:r w:rsidR="00322257">
              <w:rPr>
                <w:b/>
                <w:bCs/>
                <w:lang w:val="en-US"/>
              </w:rPr>
              <w:t>622</w:t>
            </w:r>
          </w:p>
        </w:tc>
        <w:tc>
          <w:tcPr>
            <w:tcW w:w="704" w:type="pct"/>
            <w:vAlign w:val="bottom"/>
          </w:tcPr>
          <w:p w14:paraId="2B3EBB4C" w14:textId="77777777" w:rsidR="00163EE8" w:rsidRDefault="00163EE8"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14,033</w:t>
            </w:r>
          </w:p>
        </w:tc>
        <w:tc>
          <w:tcPr>
            <w:tcW w:w="662" w:type="pct"/>
            <w:vAlign w:val="bottom"/>
          </w:tcPr>
          <w:p w14:paraId="20A41CB7" w14:textId="77777777" w:rsidR="00163EE8" w:rsidRPr="002F3885" w:rsidRDefault="00625949"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b/>
                <w:bCs/>
                <w:lang w:val="en-US"/>
              </w:rPr>
            </w:pPr>
            <w:r>
              <w:rPr>
                <w:b/>
                <w:bCs/>
                <w:lang w:val="en-US"/>
              </w:rPr>
              <w:t>10,776</w:t>
            </w:r>
          </w:p>
        </w:tc>
      </w:tr>
    </w:tbl>
    <w:p w14:paraId="1E967D21"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jc w:val="both"/>
        <w:rPr>
          <w:lang w:val="en-US"/>
        </w:rPr>
      </w:pPr>
    </w:p>
    <w:p w14:paraId="0E4B2745" w14:textId="77777777" w:rsidR="00AA5007" w:rsidRDefault="009D1134" w:rsidP="00DC09D5">
      <w:pPr>
        <w:jc w:val="right"/>
        <w:rPr>
          <w:lang w:val="en-US"/>
        </w:rPr>
      </w:pPr>
      <w:r>
        <w:rPr>
          <w:lang w:val="en-US"/>
        </w:rPr>
        <w:br w:type="page"/>
      </w:r>
    </w:p>
    <w:p w14:paraId="742E3218" w14:textId="77777777" w:rsidR="00415511" w:rsidRPr="00221793" w:rsidRDefault="00415511" w:rsidP="00415511">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2B44AD1E" w14:textId="77777777" w:rsidR="00415511" w:rsidRPr="00221793" w:rsidRDefault="00415511" w:rsidP="00415511">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w:t>
      </w:r>
      <w:r w:rsidR="002B3815">
        <w:rPr>
          <w:b/>
          <w:bCs/>
          <w:sz w:val="24"/>
          <w:szCs w:val="24"/>
          <w:lang w:val="en-US"/>
        </w:rPr>
        <w:t>30 June 201</w:t>
      </w:r>
      <w:r w:rsidR="00163EE8">
        <w:rPr>
          <w:b/>
          <w:bCs/>
          <w:sz w:val="24"/>
          <w:szCs w:val="24"/>
          <w:lang w:val="en-US"/>
        </w:rPr>
        <w:t>5</w:t>
      </w:r>
    </w:p>
    <w:p w14:paraId="04B22F0B" w14:textId="77777777" w:rsidR="009D1134" w:rsidRPr="00221793" w:rsidRDefault="00415511" w:rsidP="009D113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Notes to the </w:t>
      </w:r>
      <w:r w:rsidR="009D1134" w:rsidRPr="00221793">
        <w:rPr>
          <w:b/>
          <w:bCs/>
          <w:sz w:val="24"/>
          <w:szCs w:val="24"/>
          <w:lang w:val="en-US"/>
        </w:rPr>
        <w:t xml:space="preserve">financial </w:t>
      </w:r>
      <w:r w:rsidRPr="00221793">
        <w:rPr>
          <w:b/>
          <w:bCs/>
          <w:sz w:val="24"/>
          <w:szCs w:val="24"/>
          <w:lang w:val="en-US"/>
        </w:rPr>
        <w:t>statements</w:t>
      </w:r>
    </w:p>
    <w:p w14:paraId="42C375FD" w14:textId="77777777" w:rsidR="009D1134" w:rsidRPr="002F3885" w:rsidRDefault="009D1134" w:rsidP="009D1134">
      <w:pPr>
        <w:widowControl/>
        <w:tabs>
          <w:tab w:val="left" w:pos="-720"/>
          <w:tab w:val="left" w:pos="0"/>
        </w:tabs>
        <w:suppressAutoHyphens/>
        <w:spacing w:after="240"/>
        <w:ind w:left="720" w:hanging="720"/>
        <w:jc w:val="both"/>
        <w:rPr>
          <w:lang w:val="en-US"/>
        </w:rPr>
      </w:pPr>
      <w:r w:rsidRPr="002F3885">
        <w:rPr>
          <w:b/>
          <w:bCs/>
          <w:lang w:val="en-US"/>
        </w:rPr>
        <w:t>1.</w:t>
      </w:r>
      <w:r w:rsidRPr="002F3885">
        <w:rPr>
          <w:b/>
          <w:bCs/>
          <w:lang w:val="en-US"/>
        </w:rPr>
        <w:tab/>
        <w:t>Basis of preparation</w:t>
      </w:r>
      <w:r w:rsidR="00A71CB5">
        <w:rPr>
          <w:b/>
          <w:bCs/>
          <w:lang w:val="en-US"/>
        </w:rPr>
        <w:t xml:space="preserve"> and accounting policies</w:t>
      </w:r>
    </w:p>
    <w:p w14:paraId="5F923F34" w14:textId="77777777" w:rsidR="008A26F4" w:rsidRDefault="008A26F4" w:rsidP="008A26F4">
      <w:pPr>
        <w:spacing w:after="240"/>
        <w:jc w:val="both"/>
        <w:rPr>
          <w:lang w:val="en-US"/>
        </w:rPr>
      </w:pPr>
      <w:r w:rsidRPr="00484242">
        <w:rPr>
          <w:lang w:val="en-US"/>
        </w:rPr>
        <w:t xml:space="preserve">The financial </w:t>
      </w:r>
      <w:r>
        <w:rPr>
          <w:lang w:val="en-US"/>
        </w:rPr>
        <w:t>information in this document</w:t>
      </w:r>
      <w:r w:rsidRPr="00484242">
        <w:rPr>
          <w:lang w:val="en-US"/>
        </w:rPr>
        <w:t xml:space="preserve"> ha</w:t>
      </w:r>
      <w:r>
        <w:rPr>
          <w:lang w:val="en-US"/>
        </w:rPr>
        <w:t>s</w:t>
      </w:r>
      <w:r w:rsidRPr="00484242">
        <w:rPr>
          <w:lang w:val="en-US"/>
        </w:rPr>
        <w:t xml:space="preserve"> been prepared in accordance with</w:t>
      </w:r>
      <w:r w:rsidR="00537E15">
        <w:rPr>
          <w:lang w:val="en-US"/>
        </w:rPr>
        <w:t xml:space="preserve"> the recognition and measurement requirements of</w:t>
      </w:r>
      <w:r w:rsidRPr="00484242">
        <w:rPr>
          <w:lang w:val="en-US"/>
        </w:rPr>
        <w:t xml:space="preserve"> International Financial Reporting Standards, International Accounting Standards and interpretations (collectively, “IFRS”) issued by the International Accounting Standards Board (IASB) as adopted by the European Union (“adopted IFRSs”). </w:t>
      </w:r>
    </w:p>
    <w:p w14:paraId="088F94FF" w14:textId="77777777" w:rsidR="006529F6" w:rsidRPr="006529F6" w:rsidRDefault="006529F6" w:rsidP="006529F6">
      <w:pPr>
        <w:pStyle w:val="xm"/>
        <w:spacing w:before="0" w:beforeAutospacing="0" w:after="0" w:afterAutospacing="0"/>
        <w:jc w:val="both"/>
        <w:rPr>
          <w:sz w:val="20"/>
          <w:szCs w:val="20"/>
          <w:lang w:val="en-US"/>
        </w:rPr>
      </w:pPr>
      <w:r w:rsidRPr="006529F6">
        <w:rPr>
          <w:sz w:val="20"/>
          <w:szCs w:val="20"/>
          <w:lang w:val="en-US"/>
        </w:rPr>
        <w:t xml:space="preserve">The financial information for the </w:t>
      </w:r>
      <w:r w:rsidR="00470E27">
        <w:rPr>
          <w:sz w:val="20"/>
          <w:szCs w:val="20"/>
          <w:lang w:val="en-US"/>
        </w:rPr>
        <w:t>period</w:t>
      </w:r>
      <w:r w:rsidRPr="006529F6">
        <w:rPr>
          <w:sz w:val="20"/>
          <w:szCs w:val="20"/>
          <w:lang w:val="en-US"/>
        </w:rPr>
        <w:t xml:space="preserve"> ended 3</w:t>
      </w:r>
      <w:r w:rsidR="00470E27">
        <w:rPr>
          <w:sz w:val="20"/>
          <w:szCs w:val="20"/>
          <w:lang w:val="en-US"/>
        </w:rPr>
        <w:t>0</w:t>
      </w:r>
      <w:r w:rsidRPr="006529F6">
        <w:rPr>
          <w:sz w:val="20"/>
          <w:szCs w:val="20"/>
          <w:lang w:val="en-US"/>
        </w:rPr>
        <w:t xml:space="preserve"> </w:t>
      </w:r>
      <w:r w:rsidR="00470E27">
        <w:rPr>
          <w:sz w:val="20"/>
          <w:szCs w:val="20"/>
          <w:lang w:val="en-US"/>
        </w:rPr>
        <w:t>June</w:t>
      </w:r>
      <w:r w:rsidRPr="006529F6">
        <w:rPr>
          <w:sz w:val="20"/>
          <w:szCs w:val="20"/>
          <w:lang w:val="en-US"/>
        </w:rPr>
        <w:t xml:space="preserve"> 201</w:t>
      </w:r>
      <w:r w:rsidR="001B176B">
        <w:rPr>
          <w:sz w:val="20"/>
          <w:szCs w:val="20"/>
          <w:lang w:val="en-US"/>
        </w:rPr>
        <w:t>5</w:t>
      </w:r>
      <w:r w:rsidRPr="006529F6">
        <w:rPr>
          <w:sz w:val="20"/>
          <w:szCs w:val="20"/>
          <w:lang w:val="en-US"/>
        </w:rPr>
        <w:t xml:space="preserve"> does not constitute the full statutory accounts for that </w:t>
      </w:r>
      <w:r w:rsidR="00A95ED6">
        <w:rPr>
          <w:sz w:val="20"/>
          <w:szCs w:val="20"/>
          <w:lang w:val="en-US"/>
        </w:rPr>
        <w:t>period</w:t>
      </w:r>
      <w:r w:rsidRPr="006529F6">
        <w:rPr>
          <w:sz w:val="20"/>
          <w:szCs w:val="20"/>
          <w:lang w:val="en-US"/>
        </w:rPr>
        <w:t>.  The Annual Report and Financial Statements for 201</w:t>
      </w:r>
      <w:r w:rsidR="001B176B">
        <w:rPr>
          <w:sz w:val="20"/>
          <w:szCs w:val="20"/>
          <w:lang w:val="en-US"/>
        </w:rPr>
        <w:t>4</w:t>
      </w:r>
      <w:r w:rsidRPr="006529F6">
        <w:rPr>
          <w:sz w:val="20"/>
          <w:szCs w:val="20"/>
          <w:lang w:val="en-US"/>
        </w:rPr>
        <w:t xml:space="preserve"> have been filed with the Registrar of Companies.  The Independent Auditors' Report on the Annual Report and Financial Statement</w:t>
      </w:r>
      <w:r w:rsidR="000F44B8">
        <w:rPr>
          <w:sz w:val="20"/>
          <w:szCs w:val="20"/>
          <w:lang w:val="en-US"/>
        </w:rPr>
        <w:t>s</w:t>
      </w:r>
      <w:r w:rsidRPr="006529F6">
        <w:rPr>
          <w:sz w:val="20"/>
          <w:szCs w:val="20"/>
          <w:lang w:val="en-US"/>
        </w:rPr>
        <w:t xml:space="preserve"> for 201</w:t>
      </w:r>
      <w:r w:rsidR="001B176B">
        <w:rPr>
          <w:sz w:val="20"/>
          <w:szCs w:val="20"/>
          <w:lang w:val="en-US"/>
        </w:rPr>
        <w:t>4</w:t>
      </w:r>
      <w:r w:rsidRPr="006529F6">
        <w:rPr>
          <w:sz w:val="20"/>
          <w:szCs w:val="20"/>
          <w:lang w:val="en-US"/>
        </w:rPr>
        <w:t xml:space="preserve"> was unqualified, did not draw attention to any matters by way of emphasis, and did not contain a statement under 498(2) or 498(3) of the Companies Act 2006.</w:t>
      </w:r>
    </w:p>
    <w:p w14:paraId="0753ABB8" w14:textId="77777777" w:rsidR="006529F6" w:rsidRPr="006529F6" w:rsidRDefault="006529F6" w:rsidP="006529F6">
      <w:pPr>
        <w:pStyle w:val="xl"/>
        <w:spacing w:before="0" w:beforeAutospacing="0" w:after="0" w:afterAutospacing="0"/>
        <w:jc w:val="both"/>
        <w:rPr>
          <w:sz w:val="20"/>
          <w:szCs w:val="20"/>
          <w:lang w:val="en-US"/>
        </w:rPr>
      </w:pPr>
      <w:r w:rsidRPr="006529F6">
        <w:rPr>
          <w:sz w:val="20"/>
          <w:szCs w:val="20"/>
          <w:lang w:val="en-US"/>
        </w:rPr>
        <w:t> </w:t>
      </w:r>
    </w:p>
    <w:p w14:paraId="2FEF6459" w14:textId="77777777" w:rsidR="00470E27" w:rsidRDefault="006529F6" w:rsidP="006529F6">
      <w:pPr>
        <w:pStyle w:val="xm"/>
        <w:spacing w:before="0" w:beforeAutospacing="0" w:after="0" w:afterAutospacing="0"/>
        <w:jc w:val="both"/>
        <w:rPr>
          <w:sz w:val="20"/>
          <w:szCs w:val="20"/>
          <w:lang w:val="en-US"/>
        </w:rPr>
      </w:pPr>
      <w:r w:rsidRPr="006529F6">
        <w:rPr>
          <w:sz w:val="20"/>
          <w:szCs w:val="20"/>
          <w:lang w:val="en-US"/>
        </w:rPr>
        <w:t xml:space="preserve">This interim report, which has </w:t>
      </w:r>
      <w:r w:rsidR="00470E27">
        <w:rPr>
          <w:sz w:val="20"/>
          <w:szCs w:val="20"/>
          <w:lang w:val="en-US"/>
        </w:rPr>
        <w:t xml:space="preserve">neither </w:t>
      </w:r>
      <w:r w:rsidRPr="006529F6">
        <w:rPr>
          <w:sz w:val="20"/>
          <w:szCs w:val="20"/>
          <w:lang w:val="en-US"/>
        </w:rPr>
        <w:t xml:space="preserve">been </w:t>
      </w:r>
      <w:r w:rsidR="00470E27">
        <w:rPr>
          <w:sz w:val="20"/>
          <w:szCs w:val="20"/>
          <w:lang w:val="en-US"/>
        </w:rPr>
        <w:t xml:space="preserve">audited nor </w:t>
      </w:r>
      <w:r>
        <w:rPr>
          <w:sz w:val="20"/>
          <w:szCs w:val="20"/>
          <w:lang w:val="en-US"/>
        </w:rPr>
        <w:t>r</w:t>
      </w:r>
      <w:r w:rsidRPr="006529F6">
        <w:rPr>
          <w:sz w:val="20"/>
          <w:szCs w:val="20"/>
          <w:lang w:val="en-US"/>
        </w:rPr>
        <w:t xml:space="preserve">eviewed by independent auditors, was approved by the board of directors on </w:t>
      </w:r>
      <w:r w:rsidR="00AF645F" w:rsidRPr="00E72478">
        <w:rPr>
          <w:sz w:val="20"/>
          <w:szCs w:val="20"/>
          <w:lang w:val="en-US"/>
        </w:rPr>
        <w:t>2</w:t>
      </w:r>
      <w:r w:rsidR="001B176B" w:rsidRPr="00E72478">
        <w:rPr>
          <w:sz w:val="20"/>
          <w:szCs w:val="20"/>
          <w:lang w:val="en-US"/>
        </w:rPr>
        <w:t>5</w:t>
      </w:r>
      <w:r w:rsidR="00AF645F" w:rsidRPr="00E72478">
        <w:rPr>
          <w:sz w:val="20"/>
          <w:szCs w:val="20"/>
          <w:lang w:val="en-US"/>
        </w:rPr>
        <w:t xml:space="preserve"> September 201</w:t>
      </w:r>
      <w:r w:rsidR="001B176B" w:rsidRPr="00E72478">
        <w:rPr>
          <w:sz w:val="20"/>
          <w:szCs w:val="20"/>
          <w:lang w:val="en-US"/>
        </w:rPr>
        <w:t>5</w:t>
      </w:r>
      <w:r w:rsidR="00AF645F" w:rsidRPr="00E72478">
        <w:rPr>
          <w:sz w:val="20"/>
          <w:szCs w:val="20"/>
          <w:lang w:val="en-US"/>
        </w:rPr>
        <w:t>.</w:t>
      </w:r>
      <w:r w:rsidRPr="006529F6">
        <w:rPr>
          <w:sz w:val="20"/>
          <w:szCs w:val="20"/>
          <w:lang w:val="en-US"/>
        </w:rPr>
        <w:t xml:space="preserve"> The financial information in this interim report has been prepared in accordance with the recognition and measurement requirements of International Financial Reporting Standards as adopted for use in the EU (IFRSs).  The accounting policies applied by the Group in this financial information are the same as those applied by the Group in its financial statements for</w:t>
      </w:r>
      <w:r w:rsidR="0052500F">
        <w:rPr>
          <w:sz w:val="20"/>
          <w:szCs w:val="20"/>
          <w:lang w:val="en-US"/>
        </w:rPr>
        <w:t xml:space="preserve"> the year ended 31 December 201</w:t>
      </w:r>
      <w:r w:rsidR="001B176B">
        <w:rPr>
          <w:sz w:val="20"/>
          <w:szCs w:val="20"/>
          <w:lang w:val="en-US"/>
        </w:rPr>
        <w:t>4</w:t>
      </w:r>
      <w:r w:rsidRPr="006529F6">
        <w:rPr>
          <w:sz w:val="20"/>
          <w:szCs w:val="20"/>
          <w:lang w:val="en-US"/>
        </w:rPr>
        <w:t xml:space="preserve"> and which will form the basis of the 201</w:t>
      </w:r>
      <w:r w:rsidR="001B176B">
        <w:rPr>
          <w:sz w:val="20"/>
          <w:szCs w:val="20"/>
          <w:lang w:val="en-US"/>
        </w:rPr>
        <w:t>5</w:t>
      </w:r>
      <w:r w:rsidRPr="006529F6">
        <w:rPr>
          <w:sz w:val="20"/>
          <w:szCs w:val="20"/>
          <w:lang w:val="en-US"/>
        </w:rPr>
        <w:t xml:space="preserve"> financial statements.  </w:t>
      </w:r>
    </w:p>
    <w:p w14:paraId="0DE96E25" w14:textId="77777777" w:rsidR="008A26F4" w:rsidRDefault="008A26F4" w:rsidP="006529F6">
      <w:pPr>
        <w:pStyle w:val="xm"/>
        <w:spacing w:before="0" w:beforeAutospacing="0" w:after="0" w:afterAutospacing="0"/>
        <w:jc w:val="both"/>
        <w:rPr>
          <w:sz w:val="20"/>
          <w:szCs w:val="20"/>
          <w:lang w:val="en-US"/>
        </w:rPr>
      </w:pPr>
    </w:p>
    <w:p w14:paraId="4F3343AD" w14:textId="77777777" w:rsidR="008A26F4" w:rsidRPr="00484242" w:rsidRDefault="008A26F4" w:rsidP="008A26F4">
      <w:pPr>
        <w:keepNext/>
        <w:keepLines/>
        <w:widowControl/>
        <w:tabs>
          <w:tab w:val="left" w:pos="-720"/>
          <w:tab w:val="left" w:pos="720"/>
          <w:tab w:val="left" w:pos="1440"/>
        </w:tabs>
        <w:suppressAutoHyphens/>
        <w:spacing w:after="240"/>
        <w:jc w:val="both"/>
        <w:rPr>
          <w:b/>
          <w:bCs/>
          <w:lang w:val="en-US"/>
        </w:rPr>
      </w:pPr>
      <w:r w:rsidRPr="00484242">
        <w:rPr>
          <w:b/>
          <w:bCs/>
          <w:lang w:val="en-US"/>
        </w:rPr>
        <w:t>Adoption of new and revised standards</w:t>
      </w:r>
    </w:p>
    <w:p w14:paraId="7CB83390" w14:textId="77777777" w:rsidR="008A26F4" w:rsidRPr="00484242" w:rsidRDefault="008A26F4" w:rsidP="008A26F4">
      <w:pPr>
        <w:widowControl/>
        <w:tabs>
          <w:tab w:val="left" w:pos="-720"/>
        </w:tabs>
        <w:suppressAutoHyphens/>
        <w:spacing w:after="240"/>
        <w:jc w:val="both"/>
        <w:rPr>
          <w:lang w:val="en-US"/>
        </w:rPr>
      </w:pPr>
      <w:r w:rsidRPr="00484242">
        <w:rPr>
          <w:lang w:val="en-US"/>
        </w:rPr>
        <w:t xml:space="preserve">In the current </w:t>
      </w:r>
      <w:r>
        <w:rPr>
          <w:lang w:val="en-US"/>
        </w:rPr>
        <w:t>period</w:t>
      </w:r>
      <w:r w:rsidRPr="00484242">
        <w:rPr>
          <w:lang w:val="en-US"/>
        </w:rPr>
        <w:t xml:space="preserve"> the Group has adopted all of the new and revised standards and interpretations issued by the IASB and the International Financial Reporting Interpretations Committee (IFRIC) of the IASB, as they have been adopted by the European Union, that are relevant to its operations and effective for accounting years beginning on 1 January 201</w:t>
      </w:r>
      <w:r w:rsidR="00537E15">
        <w:rPr>
          <w:lang w:val="en-US"/>
        </w:rPr>
        <w:t>5</w:t>
      </w:r>
      <w:r w:rsidRPr="00484242">
        <w:rPr>
          <w:lang w:val="en-US"/>
        </w:rPr>
        <w:t>.</w:t>
      </w:r>
      <w:r>
        <w:rPr>
          <w:lang w:val="en-US"/>
        </w:rPr>
        <w:t xml:space="preserve"> None of the new standards adopted had a material impact on the Financial Statements of the Group.</w:t>
      </w:r>
    </w:p>
    <w:p w14:paraId="419F14D9" w14:textId="77777777" w:rsidR="008A26F4" w:rsidRPr="002F3885" w:rsidRDefault="008A26F4" w:rsidP="008A26F4">
      <w:pPr>
        <w:widowControl/>
        <w:tabs>
          <w:tab w:val="left" w:pos="-720"/>
        </w:tabs>
        <w:suppressAutoHyphens/>
        <w:spacing w:after="240"/>
        <w:jc w:val="both"/>
        <w:rPr>
          <w:lang w:val="en-US"/>
        </w:rPr>
      </w:pPr>
      <w:r w:rsidRPr="00484242">
        <w:rPr>
          <w:lang w:val="en-US"/>
        </w:rPr>
        <w:t>New standards, amendments to standards and interpretations have been issued but are not effective (and in some cases had not yet been adopted by the EU) for the financial year beginning 1 January 201</w:t>
      </w:r>
      <w:r>
        <w:rPr>
          <w:lang w:val="en-US"/>
        </w:rPr>
        <w:t>5</w:t>
      </w:r>
      <w:r w:rsidRPr="00484242">
        <w:rPr>
          <w:lang w:val="en-US"/>
        </w:rPr>
        <w:t xml:space="preserve">. These have not been early adopted and </w:t>
      </w:r>
      <w:r>
        <w:rPr>
          <w:lang w:val="en-US"/>
        </w:rPr>
        <w:t>the D</w:t>
      </w:r>
      <w:r w:rsidRPr="00484242">
        <w:rPr>
          <w:lang w:val="en-US"/>
        </w:rPr>
        <w:t>irectors</w:t>
      </w:r>
      <w:r>
        <w:rPr>
          <w:lang w:val="en-US"/>
        </w:rPr>
        <w:t xml:space="preserve"> are still considering the potential impact of IFRS15: Revenue from Contracts with customers but</w:t>
      </w:r>
      <w:r w:rsidRPr="00484242">
        <w:rPr>
          <w:lang w:val="en-US"/>
        </w:rPr>
        <w:t xml:space="preserve"> do not expect that the adoption of </w:t>
      </w:r>
      <w:r>
        <w:rPr>
          <w:lang w:val="en-US"/>
        </w:rPr>
        <w:t xml:space="preserve">other </w:t>
      </w:r>
      <w:r w:rsidRPr="00484242">
        <w:rPr>
          <w:lang w:val="en-US"/>
        </w:rPr>
        <w:t>standard</w:t>
      </w:r>
      <w:r>
        <w:rPr>
          <w:lang w:val="en-US"/>
        </w:rPr>
        <w:t>s</w:t>
      </w:r>
      <w:r w:rsidRPr="00484242">
        <w:rPr>
          <w:lang w:val="en-US"/>
        </w:rPr>
        <w:t xml:space="preserve"> will have a material impact on the Financial Statements of the Group in future years.</w:t>
      </w:r>
    </w:p>
    <w:p w14:paraId="0EEF944A" w14:textId="77777777" w:rsidR="00950CF8" w:rsidRDefault="00950CF8" w:rsidP="006529F6">
      <w:pPr>
        <w:pStyle w:val="xm"/>
        <w:spacing w:before="0" w:beforeAutospacing="0" w:after="0" w:afterAutospacing="0"/>
        <w:jc w:val="both"/>
        <w:rPr>
          <w:sz w:val="20"/>
          <w:szCs w:val="20"/>
          <w:lang w:val="en-US"/>
        </w:rPr>
      </w:pPr>
    </w:p>
    <w:p w14:paraId="18188AFD" w14:textId="77777777" w:rsidR="00A71CB5" w:rsidRPr="002F3885" w:rsidRDefault="00A71CB5" w:rsidP="00A71CB5">
      <w:pPr>
        <w:widowControl/>
        <w:tabs>
          <w:tab w:val="left" w:pos="-720"/>
          <w:tab w:val="left" w:pos="0"/>
        </w:tabs>
        <w:suppressAutoHyphens/>
        <w:spacing w:after="240"/>
        <w:ind w:left="720" w:hanging="720"/>
        <w:jc w:val="both"/>
        <w:rPr>
          <w:lang w:val="en-US"/>
        </w:rPr>
      </w:pPr>
      <w:r>
        <w:rPr>
          <w:b/>
          <w:bCs/>
          <w:lang w:val="en-US"/>
        </w:rPr>
        <w:t>2</w:t>
      </w:r>
      <w:r w:rsidRPr="002F3885">
        <w:rPr>
          <w:b/>
          <w:bCs/>
          <w:lang w:val="en-US"/>
        </w:rPr>
        <w:t>.</w:t>
      </w:r>
      <w:r w:rsidRPr="002F3885">
        <w:rPr>
          <w:b/>
          <w:bCs/>
          <w:lang w:val="en-US"/>
        </w:rPr>
        <w:tab/>
      </w:r>
      <w:r>
        <w:rPr>
          <w:b/>
          <w:bCs/>
          <w:lang w:val="en-US"/>
        </w:rPr>
        <w:t>Judg</w:t>
      </w:r>
      <w:r w:rsidR="00470E27">
        <w:rPr>
          <w:b/>
          <w:bCs/>
          <w:lang w:val="en-US"/>
        </w:rPr>
        <w:t>e</w:t>
      </w:r>
      <w:r>
        <w:rPr>
          <w:b/>
          <w:bCs/>
          <w:lang w:val="en-US"/>
        </w:rPr>
        <w:t>ments and estimates</w:t>
      </w:r>
    </w:p>
    <w:p w14:paraId="0098D6EB" w14:textId="77777777" w:rsidR="00950CF8" w:rsidRDefault="00950CF8" w:rsidP="00A71CB5">
      <w:pPr>
        <w:pStyle w:val="bci"/>
        <w:spacing w:before="0" w:beforeAutospacing="0" w:after="0" w:afterAutospacing="0"/>
        <w:jc w:val="both"/>
        <w:rPr>
          <w:color w:val="000000"/>
          <w:sz w:val="22"/>
          <w:szCs w:val="22"/>
        </w:rPr>
      </w:pPr>
      <w:r>
        <w:rPr>
          <w:rStyle w:val="azb"/>
          <w:color w:val="000000"/>
          <w:sz w:val="20"/>
          <w:szCs w:val="20"/>
        </w:rPr>
        <w:t>The preparation of interim financial statements in conformity with IFRSs requires management to make</w:t>
      </w:r>
      <w:r>
        <w:rPr>
          <w:rStyle w:val="apple-converted-space"/>
          <w:color w:val="000000"/>
          <w:sz w:val="20"/>
          <w:szCs w:val="20"/>
        </w:rPr>
        <w:t> </w:t>
      </w:r>
      <w:r>
        <w:rPr>
          <w:rStyle w:val="azb"/>
          <w:color w:val="000000"/>
          <w:sz w:val="20"/>
          <w:szCs w:val="20"/>
        </w:rPr>
        <w:t>judgements</w:t>
      </w:r>
      <w:r>
        <w:rPr>
          <w:rStyle w:val="aab"/>
          <w:color w:val="000000"/>
          <w:sz w:val="20"/>
          <w:szCs w:val="20"/>
        </w:rPr>
        <w:t>, estimates and assumptions that affect the application of accounting policies and the reported amounts of assets and liabilities, income and expenses.  Actual results may differ from these estimates.</w:t>
      </w:r>
    </w:p>
    <w:p w14:paraId="0279A208" w14:textId="77777777" w:rsidR="00950CF8" w:rsidRDefault="00950CF8" w:rsidP="00A71CB5">
      <w:pPr>
        <w:pStyle w:val="bci"/>
        <w:spacing w:before="0" w:beforeAutospacing="0" w:after="0" w:afterAutospacing="0"/>
        <w:jc w:val="both"/>
        <w:rPr>
          <w:color w:val="000000"/>
          <w:sz w:val="22"/>
          <w:szCs w:val="22"/>
        </w:rPr>
      </w:pPr>
      <w:r>
        <w:rPr>
          <w:rStyle w:val="azb"/>
          <w:color w:val="000000"/>
          <w:sz w:val="20"/>
          <w:szCs w:val="20"/>
        </w:rPr>
        <w:t> </w:t>
      </w:r>
    </w:p>
    <w:p w14:paraId="0F49CA47" w14:textId="77777777" w:rsidR="00950CF8" w:rsidRDefault="00950CF8" w:rsidP="00A71CB5">
      <w:pPr>
        <w:pStyle w:val="bci"/>
        <w:spacing w:before="0" w:beforeAutospacing="0" w:after="0" w:afterAutospacing="0"/>
        <w:jc w:val="both"/>
        <w:rPr>
          <w:color w:val="000000"/>
          <w:sz w:val="22"/>
          <w:szCs w:val="22"/>
        </w:rPr>
      </w:pPr>
      <w:r>
        <w:rPr>
          <w:rStyle w:val="azb"/>
          <w:color w:val="000000"/>
          <w:sz w:val="20"/>
          <w:szCs w:val="20"/>
        </w:rPr>
        <w:t>In preparing these condensed consolidated interim financial statements, the significant</w:t>
      </w:r>
      <w:r>
        <w:rPr>
          <w:rStyle w:val="apple-converted-space"/>
          <w:color w:val="000000"/>
          <w:sz w:val="20"/>
          <w:szCs w:val="20"/>
        </w:rPr>
        <w:t> </w:t>
      </w:r>
      <w:r>
        <w:rPr>
          <w:rStyle w:val="aab"/>
          <w:color w:val="000000"/>
          <w:sz w:val="20"/>
          <w:szCs w:val="20"/>
        </w:rPr>
        <w:t>judgements</w:t>
      </w:r>
      <w:r>
        <w:rPr>
          <w:rStyle w:val="apple-converted-space"/>
          <w:color w:val="000000"/>
          <w:sz w:val="20"/>
          <w:szCs w:val="20"/>
        </w:rPr>
        <w:t> </w:t>
      </w:r>
      <w:r>
        <w:rPr>
          <w:rStyle w:val="azb"/>
          <w:color w:val="000000"/>
          <w:sz w:val="20"/>
          <w:szCs w:val="20"/>
        </w:rPr>
        <w:t>made by management in applying the Group's accounting policies and the key sources of estimation uncertainty were consistent with those that applied to the consolidated financial statements as at and for</w:t>
      </w:r>
      <w:r w:rsidR="00A71CB5">
        <w:rPr>
          <w:rStyle w:val="azb"/>
          <w:color w:val="000000"/>
          <w:sz w:val="20"/>
          <w:szCs w:val="20"/>
        </w:rPr>
        <w:t xml:space="preserve"> the year ended 31 December 201</w:t>
      </w:r>
      <w:r w:rsidR="007507CA">
        <w:rPr>
          <w:rStyle w:val="azb"/>
          <w:color w:val="000000"/>
          <w:sz w:val="20"/>
          <w:szCs w:val="20"/>
        </w:rPr>
        <w:t>4</w:t>
      </w:r>
      <w:r>
        <w:rPr>
          <w:rStyle w:val="azb"/>
          <w:color w:val="000000"/>
          <w:sz w:val="20"/>
          <w:szCs w:val="20"/>
        </w:rPr>
        <w:t>.</w:t>
      </w:r>
    </w:p>
    <w:p w14:paraId="1CE1BBB4" w14:textId="77777777" w:rsidR="00EE462B" w:rsidRDefault="00EE462B">
      <w:pPr>
        <w:widowControl/>
        <w:autoSpaceDE/>
        <w:autoSpaceDN/>
        <w:adjustRightInd/>
        <w:rPr>
          <w:szCs w:val="20"/>
          <w:lang w:val="en-US"/>
        </w:rPr>
      </w:pPr>
    </w:p>
    <w:p w14:paraId="1AEAB289" w14:textId="77777777" w:rsidR="00EE462B" w:rsidRDefault="00EE462B" w:rsidP="00EE462B">
      <w:pPr>
        <w:pStyle w:val="xm"/>
        <w:spacing w:before="0" w:beforeAutospacing="0" w:after="0" w:afterAutospacing="0"/>
        <w:jc w:val="both"/>
        <w:rPr>
          <w:sz w:val="20"/>
          <w:szCs w:val="20"/>
          <w:lang w:val="en-US"/>
        </w:rPr>
      </w:pPr>
      <w:r>
        <w:rPr>
          <w:sz w:val="20"/>
          <w:szCs w:val="20"/>
          <w:lang w:val="en-US"/>
        </w:rPr>
        <w:t xml:space="preserve">The risks and uncertainties and significant estimates and judgements faced by the Group have not changed significantly since the 2014 Annual Report was published and are not expected to change significantly during the remaining six months of the financial year. </w:t>
      </w:r>
    </w:p>
    <w:p w14:paraId="38CFEE33" w14:textId="77777777" w:rsidR="008A26F4" w:rsidRDefault="008A26F4">
      <w:pPr>
        <w:widowControl/>
        <w:autoSpaceDE/>
        <w:autoSpaceDN/>
        <w:adjustRightInd/>
        <w:rPr>
          <w:szCs w:val="20"/>
          <w:lang w:val="en-US"/>
        </w:rPr>
      </w:pPr>
      <w:r>
        <w:rPr>
          <w:szCs w:val="20"/>
          <w:lang w:val="en-US"/>
        </w:rPr>
        <w:br w:type="page"/>
      </w:r>
    </w:p>
    <w:p w14:paraId="1BF1F41B"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2C2E7C3D"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Pr>
          <w:b/>
          <w:bCs/>
          <w:sz w:val="24"/>
          <w:szCs w:val="24"/>
          <w:lang w:val="en-US"/>
        </w:rPr>
        <w:t>period</w:t>
      </w:r>
      <w:r w:rsidRPr="00221793">
        <w:rPr>
          <w:b/>
          <w:bCs/>
          <w:sz w:val="24"/>
          <w:szCs w:val="24"/>
          <w:lang w:val="en-US"/>
        </w:rPr>
        <w:t xml:space="preserve"> ended </w:t>
      </w:r>
      <w:r>
        <w:rPr>
          <w:b/>
          <w:bCs/>
          <w:sz w:val="24"/>
          <w:szCs w:val="24"/>
          <w:lang w:val="en-US"/>
        </w:rPr>
        <w:t>30 June 2015</w:t>
      </w:r>
    </w:p>
    <w:p w14:paraId="0E60EE21"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Notes to the financial statements</w:t>
      </w:r>
      <w:r>
        <w:rPr>
          <w:b/>
          <w:bCs/>
          <w:sz w:val="24"/>
          <w:szCs w:val="24"/>
          <w:lang w:val="en-US"/>
        </w:rPr>
        <w:t xml:space="preserve"> </w:t>
      </w:r>
      <w:r w:rsidRPr="000E5FB8">
        <w:rPr>
          <w:b/>
          <w:bCs/>
          <w:i/>
          <w:sz w:val="24"/>
          <w:szCs w:val="24"/>
          <w:lang w:val="en-US"/>
        </w:rPr>
        <w:t>(continued)</w:t>
      </w:r>
    </w:p>
    <w:p w14:paraId="379C23C8" w14:textId="77777777" w:rsidR="00950CF8" w:rsidRPr="006529F6" w:rsidRDefault="00950CF8" w:rsidP="00A71CB5">
      <w:pPr>
        <w:pStyle w:val="xm"/>
        <w:spacing w:before="0" w:beforeAutospacing="0" w:after="0" w:afterAutospacing="0"/>
        <w:jc w:val="both"/>
        <w:rPr>
          <w:sz w:val="20"/>
          <w:szCs w:val="20"/>
          <w:lang w:val="en-US"/>
        </w:rPr>
      </w:pPr>
    </w:p>
    <w:p w14:paraId="7C15878B" w14:textId="77777777" w:rsidR="006529F6" w:rsidRPr="006529F6" w:rsidRDefault="006529F6" w:rsidP="006529F6">
      <w:pPr>
        <w:pStyle w:val="xm"/>
        <w:spacing w:before="0" w:beforeAutospacing="0" w:after="0" w:afterAutospacing="0"/>
        <w:jc w:val="both"/>
        <w:rPr>
          <w:sz w:val="20"/>
          <w:szCs w:val="20"/>
          <w:lang w:val="en-US"/>
        </w:rPr>
      </w:pPr>
      <w:r w:rsidRPr="006529F6">
        <w:rPr>
          <w:sz w:val="20"/>
          <w:szCs w:val="20"/>
          <w:lang w:val="en-US"/>
        </w:rPr>
        <w:t> </w:t>
      </w:r>
    </w:p>
    <w:p w14:paraId="60FDE22B" w14:textId="77777777" w:rsidR="009D1134" w:rsidRPr="002B3A13" w:rsidRDefault="006529F6" w:rsidP="0052500F">
      <w:pPr>
        <w:pStyle w:val="xm"/>
        <w:spacing w:before="0" w:beforeAutospacing="0" w:after="0" w:afterAutospacing="0"/>
        <w:jc w:val="both"/>
        <w:rPr>
          <w:b/>
          <w:bCs/>
          <w:sz w:val="20"/>
          <w:szCs w:val="22"/>
          <w:lang w:val="en-US"/>
        </w:rPr>
      </w:pPr>
      <w:r w:rsidRPr="00A71CB5">
        <w:rPr>
          <w:b/>
          <w:bCs/>
          <w:sz w:val="20"/>
          <w:szCs w:val="22"/>
          <w:lang w:val="en-US"/>
        </w:rPr>
        <w:t> </w:t>
      </w:r>
      <w:r w:rsidR="00A71CB5" w:rsidRPr="00A71CB5">
        <w:rPr>
          <w:b/>
          <w:bCs/>
          <w:sz w:val="20"/>
          <w:szCs w:val="22"/>
          <w:lang w:val="en-US"/>
        </w:rPr>
        <w:t>3</w:t>
      </w:r>
      <w:r w:rsidR="009D1134" w:rsidRPr="002B3A13">
        <w:rPr>
          <w:b/>
          <w:bCs/>
          <w:sz w:val="20"/>
          <w:szCs w:val="22"/>
          <w:lang w:val="en-US"/>
        </w:rPr>
        <w:t>.</w:t>
      </w:r>
      <w:r w:rsidR="009D1134" w:rsidRPr="002B3A13">
        <w:rPr>
          <w:b/>
          <w:bCs/>
          <w:sz w:val="20"/>
          <w:szCs w:val="22"/>
          <w:lang w:val="en-US"/>
        </w:rPr>
        <w:tab/>
        <w:t>Net revenue</w:t>
      </w:r>
    </w:p>
    <w:tbl>
      <w:tblPr>
        <w:tblW w:w="5131" w:type="pct"/>
        <w:jc w:val="center"/>
        <w:tblCellMar>
          <w:left w:w="72" w:type="dxa"/>
          <w:right w:w="72" w:type="dxa"/>
        </w:tblCellMar>
        <w:tblLook w:val="0000" w:firstRow="0" w:lastRow="0" w:firstColumn="0" w:lastColumn="0" w:noHBand="0" w:noVBand="0"/>
      </w:tblPr>
      <w:tblGrid>
        <w:gridCol w:w="5211"/>
        <w:gridCol w:w="1296"/>
        <w:gridCol w:w="1694"/>
        <w:gridCol w:w="1694"/>
      </w:tblGrid>
      <w:tr w:rsidR="00523EEF" w:rsidRPr="002F3885" w14:paraId="38ADDB12" w14:textId="77777777">
        <w:trPr>
          <w:cantSplit/>
          <w:jc w:val="center"/>
        </w:trPr>
        <w:tc>
          <w:tcPr>
            <w:tcW w:w="2633" w:type="pct"/>
            <w:vAlign w:val="bottom"/>
          </w:tcPr>
          <w:p w14:paraId="06DA836F" w14:textId="77777777" w:rsidR="00523EEF" w:rsidRPr="002F3885" w:rsidRDefault="00523EEF"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655" w:type="pct"/>
            <w:tcBorders>
              <w:left w:val="nil"/>
            </w:tcBorders>
            <w:vAlign w:val="bottom"/>
          </w:tcPr>
          <w:p w14:paraId="07F0FDD0" w14:textId="77777777" w:rsidR="00523EEF" w:rsidRDefault="00163EE8" w:rsidP="00523E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 ended</w:t>
            </w:r>
            <w:r>
              <w:rPr>
                <w:b/>
                <w:bCs/>
                <w:sz w:val="16"/>
                <w:szCs w:val="18"/>
                <w:lang w:val="en-US"/>
              </w:rPr>
              <w:br/>
              <w:t xml:space="preserve">30 June </w:t>
            </w:r>
            <w:r>
              <w:rPr>
                <w:b/>
                <w:bCs/>
                <w:sz w:val="16"/>
                <w:szCs w:val="18"/>
                <w:lang w:val="en-US"/>
              </w:rPr>
              <w:br/>
              <w:t>2015</w:t>
            </w:r>
            <w:r w:rsidR="00523EEF" w:rsidRPr="002F3885">
              <w:rPr>
                <w:b/>
                <w:bCs/>
                <w:sz w:val="16"/>
                <w:szCs w:val="18"/>
                <w:lang w:val="en-US"/>
              </w:rPr>
              <w:br/>
            </w:r>
            <w:r w:rsidR="00523EEF">
              <w:rPr>
                <w:b/>
                <w:bCs/>
                <w:sz w:val="16"/>
                <w:szCs w:val="18"/>
                <w:lang w:val="en-US"/>
              </w:rPr>
              <w:t>£’</w:t>
            </w:r>
            <w:r w:rsidR="00523EEF" w:rsidRPr="002F3885">
              <w:rPr>
                <w:b/>
                <w:bCs/>
                <w:sz w:val="16"/>
                <w:szCs w:val="18"/>
                <w:lang w:val="en-US"/>
              </w:rPr>
              <w:t>000</w:t>
            </w:r>
          </w:p>
          <w:p w14:paraId="4345C8CA" w14:textId="77777777" w:rsidR="00470E27" w:rsidRPr="002F3885" w:rsidRDefault="00470E27" w:rsidP="00523E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8"/>
                <w:szCs w:val="18"/>
                <w:lang w:val="en-US"/>
              </w:rPr>
              <w:t>Unaudited</w:t>
            </w:r>
          </w:p>
        </w:tc>
        <w:tc>
          <w:tcPr>
            <w:tcW w:w="856" w:type="pct"/>
            <w:vAlign w:val="bottom"/>
          </w:tcPr>
          <w:p w14:paraId="6734B802" w14:textId="77777777" w:rsidR="00523EEF" w:rsidRDefault="00163EE8" w:rsidP="00523E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 ended</w:t>
            </w:r>
            <w:r>
              <w:rPr>
                <w:b/>
                <w:bCs/>
                <w:sz w:val="16"/>
                <w:szCs w:val="18"/>
                <w:lang w:val="en-US"/>
              </w:rPr>
              <w:br/>
              <w:t>30 June</w:t>
            </w:r>
            <w:r>
              <w:rPr>
                <w:b/>
                <w:bCs/>
                <w:sz w:val="16"/>
                <w:szCs w:val="18"/>
                <w:lang w:val="en-US"/>
              </w:rPr>
              <w:br/>
              <w:t>2014</w:t>
            </w:r>
            <w:r w:rsidR="00523EEF" w:rsidRPr="002F3885">
              <w:rPr>
                <w:b/>
                <w:bCs/>
                <w:sz w:val="16"/>
                <w:szCs w:val="18"/>
                <w:lang w:val="en-US"/>
              </w:rPr>
              <w:br/>
            </w:r>
            <w:r w:rsidR="00523EEF">
              <w:rPr>
                <w:b/>
                <w:bCs/>
                <w:sz w:val="16"/>
                <w:szCs w:val="18"/>
                <w:lang w:val="en-US"/>
              </w:rPr>
              <w:t>£’</w:t>
            </w:r>
            <w:r w:rsidR="00523EEF" w:rsidRPr="002F3885">
              <w:rPr>
                <w:b/>
                <w:bCs/>
                <w:sz w:val="16"/>
                <w:szCs w:val="18"/>
                <w:lang w:val="en-US"/>
              </w:rPr>
              <w:t>000</w:t>
            </w:r>
          </w:p>
          <w:p w14:paraId="6C8421A1" w14:textId="77777777" w:rsidR="00470E27" w:rsidRDefault="00470E27" w:rsidP="00523EE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8"/>
                <w:szCs w:val="18"/>
                <w:lang w:val="en-US"/>
              </w:rPr>
              <w:t>Unaudited</w:t>
            </w:r>
          </w:p>
        </w:tc>
        <w:tc>
          <w:tcPr>
            <w:tcW w:w="856" w:type="pct"/>
            <w:vAlign w:val="bottom"/>
          </w:tcPr>
          <w:p w14:paraId="240B15D3" w14:textId="77777777" w:rsidR="00523EEF" w:rsidRDefault="00523EEF" w:rsidP="00C255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w:t>
            </w:r>
            <w:r w:rsidR="00163EE8">
              <w:rPr>
                <w:b/>
                <w:bCs/>
                <w:sz w:val="16"/>
                <w:szCs w:val="18"/>
                <w:lang w:val="en-US"/>
              </w:rPr>
              <w:t>ear ended</w:t>
            </w:r>
            <w:r w:rsidR="00163EE8">
              <w:rPr>
                <w:b/>
                <w:bCs/>
                <w:sz w:val="16"/>
                <w:szCs w:val="18"/>
                <w:lang w:val="en-US"/>
              </w:rPr>
              <w:br/>
              <w:t>31 December</w:t>
            </w:r>
            <w:r w:rsidR="00163EE8">
              <w:rPr>
                <w:b/>
                <w:bCs/>
                <w:sz w:val="16"/>
                <w:szCs w:val="18"/>
                <w:lang w:val="en-US"/>
              </w:rPr>
              <w:br/>
              <w:t>2014</w:t>
            </w:r>
            <w:r w:rsidRPr="002F3885">
              <w:rPr>
                <w:b/>
                <w:bCs/>
                <w:sz w:val="16"/>
                <w:szCs w:val="18"/>
                <w:lang w:val="en-US"/>
              </w:rPr>
              <w:br/>
            </w:r>
            <w:r>
              <w:rPr>
                <w:b/>
                <w:bCs/>
                <w:sz w:val="16"/>
                <w:szCs w:val="18"/>
                <w:lang w:val="en-US"/>
              </w:rPr>
              <w:t>£’</w:t>
            </w:r>
            <w:r w:rsidRPr="002F3885">
              <w:rPr>
                <w:b/>
                <w:bCs/>
                <w:sz w:val="16"/>
                <w:szCs w:val="18"/>
                <w:lang w:val="en-US"/>
              </w:rPr>
              <w:t>000</w:t>
            </w:r>
          </w:p>
          <w:p w14:paraId="58510EB3" w14:textId="77777777" w:rsidR="00470E27" w:rsidRDefault="00470E27" w:rsidP="00C255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Audited</w:t>
            </w:r>
          </w:p>
        </w:tc>
      </w:tr>
      <w:tr w:rsidR="00163EE8" w:rsidRPr="002F3885" w14:paraId="1CFC5B44" w14:textId="77777777">
        <w:trPr>
          <w:cantSplit/>
          <w:jc w:val="center"/>
        </w:trPr>
        <w:tc>
          <w:tcPr>
            <w:tcW w:w="2633" w:type="pct"/>
          </w:tcPr>
          <w:p w14:paraId="00BA068D" w14:textId="77777777" w:rsidR="00163EE8" w:rsidRPr="002F3885" w:rsidRDefault="00163EE8" w:rsidP="009D1134">
            <w:pPr>
              <w:widowControl/>
              <w:tabs>
                <w:tab w:val="right" w:leader="dot" w:pos="3620"/>
              </w:tabs>
              <w:suppressAutoHyphens/>
              <w:spacing w:after="20"/>
              <w:ind w:left="200" w:hanging="200"/>
              <w:rPr>
                <w:lang w:val="en-US"/>
              </w:rPr>
            </w:pPr>
            <w:r w:rsidRPr="002F3885">
              <w:rPr>
                <w:lang w:val="en-US"/>
              </w:rPr>
              <w:t>B2C</w:t>
            </w:r>
            <w:r w:rsidRPr="002F3885">
              <w:rPr>
                <w:lang w:val="en-US"/>
              </w:rPr>
              <w:tab/>
            </w:r>
          </w:p>
        </w:tc>
        <w:tc>
          <w:tcPr>
            <w:tcW w:w="655" w:type="pct"/>
            <w:tcBorders>
              <w:left w:val="nil"/>
            </w:tcBorders>
            <w:vAlign w:val="bottom"/>
          </w:tcPr>
          <w:p w14:paraId="7B9A0DDC" w14:textId="77777777" w:rsidR="00163EE8" w:rsidRPr="002F3885" w:rsidRDefault="00E72478"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242</w:t>
            </w:r>
          </w:p>
        </w:tc>
        <w:tc>
          <w:tcPr>
            <w:tcW w:w="856" w:type="pct"/>
            <w:vAlign w:val="bottom"/>
          </w:tcPr>
          <w:p w14:paraId="6012AB6E"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319</w:t>
            </w:r>
          </w:p>
        </w:tc>
        <w:tc>
          <w:tcPr>
            <w:tcW w:w="856" w:type="pct"/>
            <w:vAlign w:val="bottom"/>
          </w:tcPr>
          <w:p w14:paraId="47477FBD" w14:textId="77777777" w:rsidR="00163EE8" w:rsidRPr="002F3885" w:rsidRDefault="00374BA5"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678</w:t>
            </w:r>
          </w:p>
        </w:tc>
      </w:tr>
      <w:tr w:rsidR="00163EE8" w:rsidRPr="002F3885" w14:paraId="6D0A96D0" w14:textId="77777777">
        <w:trPr>
          <w:cantSplit/>
          <w:jc w:val="center"/>
        </w:trPr>
        <w:tc>
          <w:tcPr>
            <w:tcW w:w="2633" w:type="pct"/>
          </w:tcPr>
          <w:p w14:paraId="1845FEDF"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lang w:val="en-US"/>
              </w:rPr>
              <w:t>B2B</w:t>
            </w:r>
          </w:p>
        </w:tc>
        <w:tc>
          <w:tcPr>
            <w:tcW w:w="655" w:type="pct"/>
            <w:tcBorders>
              <w:left w:val="nil"/>
            </w:tcBorders>
            <w:vAlign w:val="bottom"/>
          </w:tcPr>
          <w:p w14:paraId="504F6935"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856" w:type="pct"/>
            <w:vAlign w:val="bottom"/>
          </w:tcPr>
          <w:p w14:paraId="1183F8F0"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856" w:type="pct"/>
            <w:vAlign w:val="bottom"/>
          </w:tcPr>
          <w:p w14:paraId="0EF1CB22" w14:textId="77777777" w:rsidR="00163EE8" w:rsidRPr="002F3885" w:rsidRDefault="00163EE8"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163EE8" w:rsidRPr="002F3885" w14:paraId="04AC9CB6" w14:textId="77777777">
        <w:trPr>
          <w:cantSplit/>
          <w:jc w:val="center"/>
        </w:trPr>
        <w:tc>
          <w:tcPr>
            <w:tcW w:w="2633" w:type="pct"/>
          </w:tcPr>
          <w:p w14:paraId="4A48A3FF" w14:textId="77777777" w:rsidR="00163EE8" w:rsidRPr="002F3885" w:rsidRDefault="00163EE8" w:rsidP="009D1134">
            <w:pPr>
              <w:widowControl/>
              <w:tabs>
                <w:tab w:val="right" w:leader="dot" w:pos="3620"/>
              </w:tabs>
              <w:suppressAutoHyphens/>
              <w:ind w:left="400" w:hanging="200"/>
              <w:rPr>
                <w:lang w:val="en-US"/>
              </w:rPr>
            </w:pPr>
            <w:r>
              <w:rPr>
                <w:lang w:val="en-US"/>
              </w:rPr>
              <w:t>—</w:t>
            </w:r>
            <w:r w:rsidRPr="002F3885">
              <w:rPr>
                <w:lang w:val="en-US"/>
              </w:rPr>
              <w:t>Game and platform development</w:t>
            </w:r>
            <w:r w:rsidRPr="002F3885">
              <w:rPr>
                <w:lang w:val="en-US"/>
              </w:rPr>
              <w:tab/>
            </w:r>
          </w:p>
        </w:tc>
        <w:tc>
          <w:tcPr>
            <w:tcW w:w="655" w:type="pct"/>
            <w:tcBorders>
              <w:left w:val="nil"/>
            </w:tcBorders>
            <w:vAlign w:val="bottom"/>
          </w:tcPr>
          <w:p w14:paraId="5FC83FFB" w14:textId="77777777" w:rsidR="00163EE8" w:rsidRPr="002F3885" w:rsidRDefault="00114281" w:rsidP="008B33A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660</w:t>
            </w:r>
          </w:p>
        </w:tc>
        <w:tc>
          <w:tcPr>
            <w:tcW w:w="856" w:type="pct"/>
            <w:vAlign w:val="bottom"/>
          </w:tcPr>
          <w:p w14:paraId="204B71ED" w14:textId="77777777" w:rsidR="00163EE8" w:rsidRPr="002F3885" w:rsidRDefault="00163EE8"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2,450</w:t>
            </w:r>
          </w:p>
        </w:tc>
        <w:tc>
          <w:tcPr>
            <w:tcW w:w="856" w:type="pct"/>
            <w:vAlign w:val="bottom"/>
          </w:tcPr>
          <w:p w14:paraId="095E609A" w14:textId="77777777" w:rsidR="00163EE8" w:rsidRPr="002F3885"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3,946</w:t>
            </w:r>
          </w:p>
        </w:tc>
      </w:tr>
      <w:tr w:rsidR="00163EE8" w:rsidRPr="002F3885" w14:paraId="1EFBB827" w14:textId="77777777">
        <w:trPr>
          <w:cantSplit/>
          <w:jc w:val="center"/>
        </w:trPr>
        <w:tc>
          <w:tcPr>
            <w:tcW w:w="2633" w:type="pct"/>
          </w:tcPr>
          <w:p w14:paraId="6D049E66" w14:textId="77777777" w:rsidR="00163EE8" w:rsidRPr="002F3885" w:rsidRDefault="00163EE8" w:rsidP="009D1134">
            <w:pPr>
              <w:widowControl/>
              <w:tabs>
                <w:tab w:val="right" w:leader="dot" w:pos="3620"/>
              </w:tabs>
              <w:suppressAutoHyphens/>
              <w:spacing w:after="20"/>
              <w:ind w:left="400" w:hanging="200"/>
              <w:rPr>
                <w:lang w:val="en-US"/>
              </w:rPr>
            </w:pPr>
            <w:r>
              <w:rPr>
                <w:lang w:val="en-US"/>
              </w:rPr>
              <w:t>—</w:t>
            </w:r>
            <w:r w:rsidRPr="002F3885">
              <w:rPr>
                <w:lang w:val="en-US"/>
              </w:rPr>
              <w:t>Revenue share and other revenue</w:t>
            </w:r>
            <w:r w:rsidRPr="002F3885">
              <w:rPr>
                <w:lang w:val="en-US"/>
              </w:rPr>
              <w:tab/>
            </w:r>
          </w:p>
        </w:tc>
        <w:tc>
          <w:tcPr>
            <w:tcW w:w="655" w:type="pct"/>
            <w:tcBorders>
              <w:left w:val="nil"/>
            </w:tcBorders>
            <w:vAlign w:val="bottom"/>
          </w:tcPr>
          <w:p w14:paraId="653D964E" w14:textId="77777777" w:rsidR="00163EE8" w:rsidRPr="002F3885" w:rsidRDefault="00114281" w:rsidP="00E724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w:t>
            </w:r>
            <w:r w:rsidR="00E72478">
              <w:rPr>
                <w:lang w:val="en-US"/>
              </w:rPr>
              <w:t>990</w:t>
            </w:r>
          </w:p>
        </w:tc>
        <w:tc>
          <w:tcPr>
            <w:tcW w:w="856" w:type="pct"/>
            <w:vAlign w:val="bottom"/>
          </w:tcPr>
          <w:p w14:paraId="06BC13DE"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1,397</w:t>
            </w:r>
          </w:p>
        </w:tc>
        <w:tc>
          <w:tcPr>
            <w:tcW w:w="856" w:type="pct"/>
            <w:vAlign w:val="bottom"/>
          </w:tcPr>
          <w:p w14:paraId="7852E3D7" w14:textId="77777777" w:rsidR="00163EE8" w:rsidRPr="002F3885" w:rsidRDefault="00374BA5"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2,904</w:t>
            </w:r>
          </w:p>
        </w:tc>
      </w:tr>
      <w:tr w:rsidR="00163EE8" w:rsidRPr="002F3885" w14:paraId="7D90F378" w14:textId="77777777">
        <w:trPr>
          <w:cantSplit/>
          <w:jc w:val="center"/>
        </w:trPr>
        <w:tc>
          <w:tcPr>
            <w:tcW w:w="2633" w:type="pct"/>
          </w:tcPr>
          <w:p w14:paraId="39D46C30" w14:textId="77777777" w:rsidR="00163EE8" w:rsidRPr="002F3885" w:rsidRDefault="00163EE8" w:rsidP="009D1134">
            <w:pPr>
              <w:widowControl/>
              <w:tabs>
                <w:tab w:val="right" w:leader="dot" w:pos="3620"/>
              </w:tabs>
              <w:suppressAutoHyphens/>
              <w:spacing w:after="20"/>
              <w:ind w:left="200" w:hanging="200"/>
              <w:rPr>
                <w:lang w:val="en-US"/>
              </w:rPr>
            </w:pPr>
            <w:r w:rsidRPr="002F3885">
              <w:rPr>
                <w:lang w:val="en-US"/>
              </w:rPr>
              <w:t>Total B2B</w:t>
            </w:r>
            <w:r w:rsidRPr="002F3885">
              <w:rPr>
                <w:lang w:val="en-US"/>
              </w:rPr>
              <w:tab/>
            </w:r>
          </w:p>
        </w:tc>
        <w:tc>
          <w:tcPr>
            <w:tcW w:w="655" w:type="pct"/>
            <w:tcBorders>
              <w:left w:val="nil"/>
            </w:tcBorders>
            <w:vAlign w:val="bottom"/>
          </w:tcPr>
          <w:p w14:paraId="254733DF" w14:textId="77777777" w:rsidR="00163EE8" w:rsidRPr="002F3885" w:rsidRDefault="00114281" w:rsidP="00E724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w:t>
            </w:r>
            <w:r w:rsidR="00E72478">
              <w:rPr>
                <w:lang w:val="en-US"/>
              </w:rPr>
              <w:t>650</w:t>
            </w:r>
          </w:p>
        </w:tc>
        <w:tc>
          <w:tcPr>
            <w:tcW w:w="856" w:type="pct"/>
            <w:vAlign w:val="bottom"/>
          </w:tcPr>
          <w:p w14:paraId="379DC1F6" w14:textId="77777777" w:rsidR="00163EE8" w:rsidRPr="002F3885" w:rsidRDefault="00163EE8"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3,847</w:t>
            </w:r>
          </w:p>
        </w:tc>
        <w:tc>
          <w:tcPr>
            <w:tcW w:w="856" w:type="pct"/>
            <w:vAlign w:val="bottom"/>
          </w:tcPr>
          <w:p w14:paraId="3A26CCF0" w14:textId="77777777" w:rsidR="00163EE8" w:rsidRPr="002F3885" w:rsidRDefault="00374BA5"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6,850</w:t>
            </w:r>
          </w:p>
        </w:tc>
      </w:tr>
      <w:tr w:rsidR="00163EE8" w:rsidRPr="002F3885" w14:paraId="3EBAC22E" w14:textId="77777777">
        <w:trPr>
          <w:cantSplit/>
          <w:jc w:val="center"/>
        </w:trPr>
        <w:tc>
          <w:tcPr>
            <w:tcW w:w="2633" w:type="pct"/>
          </w:tcPr>
          <w:p w14:paraId="3CD92C18" w14:textId="77777777" w:rsidR="00163EE8" w:rsidRPr="002F3885" w:rsidRDefault="00163EE8"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655" w:type="pct"/>
            <w:tcBorders>
              <w:left w:val="nil"/>
            </w:tcBorders>
            <w:vAlign w:val="bottom"/>
          </w:tcPr>
          <w:p w14:paraId="727D64F7" w14:textId="77777777" w:rsidR="00163EE8" w:rsidRPr="002F3885" w:rsidRDefault="001B176B" w:rsidP="00E724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w:t>
            </w:r>
            <w:r w:rsidR="00E72478">
              <w:rPr>
                <w:lang w:val="en-US"/>
              </w:rPr>
              <w:t>892</w:t>
            </w:r>
          </w:p>
        </w:tc>
        <w:tc>
          <w:tcPr>
            <w:tcW w:w="856" w:type="pct"/>
            <w:vAlign w:val="bottom"/>
          </w:tcPr>
          <w:p w14:paraId="4F97462D" w14:textId="77777777" w:rsidR="00163EE8" w:rsidRPr="002F3885" w:rsidRDefault="00163EE8"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4,166</w:t>
            </w:r>
          </w:p>
        </w:tc>
        <w:tc>
          <w:tcPr>
            <w:tcW w:w="856" w:type="pct"/>
            <w:vAlign w:val="bottom"/>
          </w:tcPr>
          <w:p w14:paraId="796BFC4B" w14:textId="77777777" w:rsidR="00163EE8" w:rsidRPr="002F3885" w:rsidRDefault="00374BA5"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7,528</w:t>
            </w:r>
          </w:p>
        </w:tc>
      </w:tr>
    </w:tbl>
    <w:p w14:paraId="1DB83F25" w14:textId="77777777" w:rsidR="00A71CB5" w:rsidRDefault="00A71CB5">
      <w:pPr>
        <w:widowControl/>
        <w:autoSpaceDE/>
        <w:autoSpaceDN/>
        <w:adjustRightInd/>
        <w:rPr>
          <w:b/>
          <w:bCs/>
          <w:lang w:val="en-US"/>
        </w:rPr>
      </w:pPr>
    </w:p>
    <w:p w14:paraId="405B3F84" w14:textId="77777777" w:rsidR="0052500F" w:rsidRPr="002F3885" w:rsidRDefault="00A71CB5" w:rsidP="0052500F">
      <w:pPr>
        <w:widowControl/>
        <w:tabs>
          <w:tab w:val="left" w:pos="-720"/>
          <w:tab w:val="left" w:pos="0"/>
        </w:tabs>
        <w:suppressAutoHyphens/>
        <w:spacing w:before="240" w:after="240"/>
        <w:ind w:left="720" w:hanging="720"/>
        <w:jc w:val="both"/>
        <w:rPr>
          <w:lang w:val="en-US"/>
        </w:rPr>
      </w:pPr>
      <w:r>
        <w:rPr>
          <w:b/>
          <w:bCs/>
          <w:lang w:val="en-US"/>
        </w:rPr>
        <w:t>4</w:t>
      </w:r>
      <w:r w:rsidR="0052500F" w:rsidRPr="002F3885">
        <w:rPr>
          <w:b/>
          <w:bCs/>
          <w:lang w:val="en-US"/>
        </w:rPr>
        <w:t>.</w:t>
      </w:r>
      <w:r w:rsidR="0052500F" w:rsidRPr="002F3885">
        <w:rPr>
          <w:b/>
          <w:bCs/>
          <w:lang w:val="en-US"/>
        </w:rPr>
        <w:tab/>
        <w:t>Segmental information</w:t>
      </w:r>
    </w:p>
    <w:p w14:paraId="07A072F7" w14:textId="77777777" w:rsidR="0052500F" w:rsidRPr="002F3885" w:rsidRDefault="0052500F" w:rsidP="0052500F">
      <w:pPr>
        <w:widowControl/>
        <w:tabs>
          <w:tab w:val="left" w:pos="-720"/>
        </w:tabs>
        <w:suppressAutoHyphens/>
        <w:spacing w:after="240"/>
        <w:jc w:val="both"/>
        <w:rPr>
          <w:lang w:val="en-US"/>
        </w:rPr>
      </w:pPr>
      <w:r w:rsidRPr="002F3885">
        <w:rPr>
          <w:lang w:val="en-US"/>
        </w:rPr>
        <w:t>Information reported to the Group</w:t>
      </w:r>
      <w:r>
        <w:rPr>
          <w:lang w:val="en-US"/>
        </w:rPr>
        <w:t>’</w:t>
      </w:r>
      <w:r w:rsidRPr="002F3885">
        <w:rPr>
          <w:lang w:val="en-US"/>
        </w:rPr>
        <w:t>s Chief Executive, the strategic chief operating decision</w:t>
      </w:r>
      <w:r w:rsidRPr="002F3885">
        <w:rPr>
          <w:lang w:val="en-US"/>
        </w:rPr>
        <w:noBreakHyphen/>
        <w:t>maker, for the purposes of resource allocation and assessment of the Group</w:t>
      </w:r>
      <w:r>
        <w:rPr>
          <w:lang w:val="en-US"/>
        </w:rPr>
        <w:t>’</w:t>
      </w:r>
      <w:r w:rsidRPr="002F3885">
        <w:rPr>
          <w:lang w:val="en-US"/>
        </w:rPr>
        <w:t>s segmental performance is primarily focused on the origination of the revenue stream. The Group</w:t>
      </w:r>
      <w:r>
        <w:rPr>
          <w:lang w:val="en-US"/>
        </w:rPr>
        <w:t>’</w:t>
      </w:r>
      <w:r w:rsidRPr="002F3885">
        <w:rPr>
          <w:lang w:val="en-US"/>
        </w:rPr>
        <w:t>s principal reportable segments under IFRS 8 are therefore as follows:</w:t>
      </w:r>
    </w:p>
    <w:p w14:paraId="31671033" w14:textId="77777777" w:rsidR="0052500F" w:rsidRPr="002F3885" w:rsidRDefault="0052500F" w:rsidP="0052500F">
      <w:pPr>
        <w:widowControl/>
        <w:tabs>
          <w:tab w:val="left" w:pos="-720"/>
          <w:tab w:val="left" w:pos="0"/>
          <w:tab w:val="left" w:pos="1080"/>
        </w:tabs>
        <w:suppressAutoHyphens/>
        <w:spacing w:after="240"/>
        <w:ind w:left="1080" w:hanging="360"/>
        <w:jc w:val="both"/>
        <w:rPr>
          <w:lang w:val="en-US"/>
        </w:rPr>
      </w:pPr>
      <w:r>
        <w:rPr>
          <w:lang w:val="en-US"/>
        </w:rPr>
        <w:t>•</w:t>
      </w:r>
      <w:r>
        <w:rPr>
          <w:lang w:val="en-US"/>
        </w:rPr>
        <w:tab/>
      </w:r>
      <w:r w:rsidRPr="002F3885">
        <w:rPr>
          <w:lang w:val="en-US"/>
        </w:rPr>
        <w:t>Business to business (</w:t>
      </w:r>
      <w:r>
        <w:rPr>
          <w:lang w:val="en-US"/>
        </w:rPr>
        <w:t>“</w:t>
      </w:r>
      <w:r w:rsidRPr="002F3885">
        <w:rPr>
          <w:lang w:val="en-US"/>
        </w:rPr>
        <w:t>B2B</w:t>
      </w:r>
      <w:r>
        <w:rPr>
          <w:lang w:val="en-US"/>
        </w:rPr>
        <w:t>”</w:t>
      </w:r>
      <w:r w:rsidRPr="002F3885">
        <w:rPr>
          <w:lang w:val="en-US"/>
        </w:rPr>
        <w:t>)</w:t>
      </w:r>
    </w:p>
    <w:p w14:paraId="59E53D48" w14:textId="77777777" w:rsidR="0052500F" w:rsidRPr="002F3885" w:rsidRDefault="0052500F" w:rsidP="0052500F">
      <w:pPr>
        <w:widowControl/>
        <w:tabs>
          <w:tab w:val="left" w:pos="-720"/>
          <w:tab w:val="left" w:pos="0"/>
          <w:tab w:val="left" w:pos="1080"/>
        </w:tabs>
        <w:suppressAutoHyphens/>
        <w:spacing w:after="240"/>
        <w:ind w:left="1080" w:hanging="360"/>
        <w:jc w:val="both"/>
        <w:rPr>
          <w:lang w:val="en-US"/>
        </w:rPr>
      </w:pPr>
      <w:r>
        <w:rPr>
          <w:lang w:val="en-US"/>
        </w:rPr>
        <w:t>•</w:t>
      </w:r>
      <w:r>
        <w:rPr>
          <w:lang w:val="en-US"/>
        </w:rPr>
        <w:tab/>
      </w:r>
      <w:r w:rsidRPr="002F3885">
        <w:rPr>
          <w:lang w:val="en-US"/>
        </w:rPr>
        <w:t>Business to consumer (</w:t>
      </w:r>
      <w:r>
        <w:rPr>
          <w:lang w:val="en-US"/>
        </w:rPr>
        <w:t>“</w:t>
      </w:r>
      <w:r w:rsidRPr="002F3885">
        <w:rPr>
          <w:lang w:val="en-US"/>
        </w:rPr>
        <w:t>B2C</w:t>
      </w:r>
      <w:r>
        <w:rPr>
          <w:lang w:val="en-US"/>
        </w:rPr>
        <w:t>”</w:t>
      </w:r>
      <w:r w:rsidRPr="002F3885">
        <w:rPr>
          <w:lang w:val="en-US"/>
        </w:rPr>
        <w:t>)</w:t>
      </w:r>
    </w:p>
    <w:p w14:paraId="4A6CDB4E" w14:textId="77777777" w:rsidR="00A71CB5" w:rsidRDefault="00A71CB5" w:rsidP="00A71CB5">
      <w:pPr>
        <w:keepNext/>
        <w:keepLines/>
        <w:widowControl/>
        <w:tabs>
          <w:tab w:val="left" w:pos="-720"/>
          <w:tab w:val="left" w:pos="720"/>
          <w:tab w:val="left" w:pos="1440"/>
        </w:tabs>
        <w:suppressAutoHyphens/>
        <w:spacing w:after="240"/>
        <w:jc w:val="both"/>
        <w:rPr>
          <w:b/>
          <w:bCs/>
          <w:lang w:val="en-US"/>
        </w:rPr>
      </w:pPr>
    </w:p>
    <w:p w14:paraId="4D262B9B" w14:textId="77777777" w:rsidR="0052500F" w:rsidRPr="002F3885" w:rsidRDefault="0052500F" w:rsidP="00A71CB5">
      <w:pPr>
        <w:keepNext/>
        <w:keepLines/>
        <w:widowControl/>
        <w:tabs>
          <w:tab w:val="left" w:pos="-720"/>
          <w:tab w:val="left" w:pos="720"/>
          <w:tab w:val="left" w:pos="1440"/>
        </w:tabs>
        <w:suppressAutoHyphens/>
        <w:spacing w:after="240"/>
        <w:jc w:val="both"/>
        <w:rPr>
          <w:b/>
          <w:bCs/>
          <w:lang w:val="en-US"/>
        </w:rPr>
      </w:pPr>
      <w:r w:rsidRPr="002F3885">
        <w:rPr>
          <w:b/>
          <w:bCs/>
          <w:lang w:val="en-US"/>
        </w:rPr>
        <w:t>Segment revenues and results</w:t>
      </w:r>
    </w:p>
    <w:p w14:paraId="4C63C534" w14:textId="77777777" w:rsidR="0052500F" w:rsidRDefault="0052500F" w:rsidP="0052500F">
      <w:pPr>
        <w:widowControl/>
        <w:tabs>
          <w:tab w:val="left" w:pos="-720"/>
        </w:tabs>
        <w:suppressAutoHyphens/>
        <w:spacing w:after="240"/>
        <w:jc w:val="both"/>
        <w:rPr>
          <w:lang w:val="en-US"/>
        </w:rPr>
      </w:pPr>
      <w:r w:rsidRPr="002F3885">
        <w:rPr>
          <w:lang w:val="en-US"/>
        </w:rPr>
        <w:t>The following is an analysis of the Group</w:t>
      </w:r>
      <w:r>
        <w:rPr>
          <w:lang w:val="en-US"/>
        </w:rPr>
        <w:t>’</w:t>
      </w:r>
      <w:r w:rsidRPr="002F3885">
        <w:rPr>
          <w:lang w:val="en-US"/>
        </w:rPr>
        <w:t>s revenue and results by reportable segment.</w:t>
      </w:r>
    </w:p>
    <w:tbl>
      <w:tblPr>
        <w:tblpPr w:leftFromText="180" w:rightFromText="180" w:vertAnchor="text" w:horzAnchor="margin" w:tblpY="77"/>
        <w:tblW w:w="5000" w:type="pct"/>
        <w:tblCellMar>
          <w:left w:w="72" w:type="dxa"/>
          <w:right w:w="72" w:type="dxa"/>
        </w:tblCellMar>
        <w:tblLook w:val="0000" w:firstRow="0" w:lastRow="0" w:firstColumn="0" w:lastColumn="0" w:noHBand="0" w:noVBand="0"/>
      </w:tblPr>
      <w:tblGrid>
        <w:gridCol w:w="5460"/>
        <w:gridCol w:w="1394"/>
        <w:gridCol w:w="1394"/>
        <w:gridCol w:w="1394"/>
      </w:tblGrid>
      <w:tr w:rsidR="0052500F" w:rsidRPr="002F3885" w14:paraId="5F51B3A3" w14:textId="77777777">
        <w:trPr>
          <w:cantSplit/>
        </w:trPr>
        <w:tc>
          <w:tcPr>
            <w:tcW w:w="2831" w:type="pct"/>
            <w:tcBorders>
              <w:top w:val="nil"/>
              <w:left w:val="nil"/>
              <w:bottom w:val="nil"/>
              <w:right w:val="nil"/>
            </w:tcBorders>
            <w:vAlign w:val="bottom"/>
          </w:tcPr>
          <w:p w14:paraId="2A914B50" w14:textId="77777777" w:rsidR="0052500F" w:rsidRPr="002F3885" w:rsidRDefault="00B511F4"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lang w:val="en-US"/>
              </w:rPr>
            </w:pPr>
            <w:r>
              <w:rPr>
                <w:b/>
                <w:bCs/>
                <w:sz w:val="16"/>
                <w:szCs w:val="18"/>
                <w:lang w:val="en-US"/>
              </w:rPr>
              <w:t xml:space="preserve">Period ended 30 June 2015 </w:t>
            </w:r>
            <w:r w:rsidR="00470E27">
              <w:rPr>
                <w:b/>
                <w:bCs/>
                <w:sz w:val="16"/>
                <w:szCs w:val="18"/>
                <w:lang w:val="en-US"/>
              </w:rPr>
              <w:t xml:space="preserve"> (Unaudited)</w:t>
            </w:r>
          </w:p>
        </w:tc>
        <w:tc>
          <w:tcPr>
            <w:tcW w:w="723" w:type="pct"/>
            <w:tcBorders>
              <w:top w:val="nil"/>
              <w:left w:val="nil"/>
              <w:bottom w:val="nil"/>
              <w:right w:val="nil"/>
            </w:tcBorders>
            <w:vAlign w:val="bottom"/>
          </w:tcPr>
          <w:p w14:paraId="2302F35D" w14:textId="77777777" w:rsidR="0052500F" w:rsidRPr="002F3885" w:rsidRDefault="0052500F"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B2C</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433EEC36" w14:textId="77777777" w:rsidR="0052500F" w:rsidRPr="002F3885" w:rsidRDefault="0052500F"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B2B</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5FF89AA6" w14:textId="77777777" w:rsidR="0052500F" w:rsidRPr="002F3885" w:rsidRDefault="0052500F"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Total</w:t>
            </w:r>
            <w:r w:rsidRPr="002F3885">
              <w:rPr>
                <w:b/>
                <w:bCs/>
                <w:sz w:val="16"/>
                <w:szCs w:val="18"/>
                <w:lang w:val="en-US"/>
              </w:rPr>
              <w:br/>
            </w:r>
            <w:r>
              <w:rPr>
                <w:b/>
                <w:bCs/>
                <w:sz w:val="16"/>
                <w:szCs w:val="18"/>
                <w:lang w:val="en-US"/>
              </w:rPr>
              <w:t>£’</w:t>
            </w:r>
            <w:r w:rsidRPr="002F3885">
              <w:rPr>
                <w:b/>
                <w:bCs/>
                <w:sz w:val="16"/>
                <w:szCs w:val="18"/>
                <w:lang w:val="en-US"/>
              </w:rPr>
              <w:t>000</w:t>
            </w:r>
          </w:p>
        </w:tc>
      </w:tr>
      <w:tr w:rsidR="0052500F" w:rsidRPr="002F3885" w14:paraId="447BA1E7" w14:textId="77777777">
        <w:trPr>
          <w:cantSplit/>
        </w:trPr>
        <w:tc>
          <w:tcPr>
            <w:tcW w:w="2831" w:type="pct"/>
            <w:tcBorders>
              <w:top w:val="nil"/>
              <w:left w:val="nil"/>
              <w:bottom w:val="nil"/>
              <w:right w:val="nil"/>
            </w:tcBorders>
          </w:tcPr>
          <w:p w14:paraId="5C654C2E" w14:textId="77777777" w:rsidR="0052500F" w:rsidRPr="002F3885" w:rsidRDefault="0052500F" w:rsidP="001F4982">
            <w:pPr>
              <w:widowControl/>
              <w:tabs>
                <w:tab w:val="right" w:leader="dot" w:pos="5460"/>
              </w:tabs>
              <w:suppressAutoHyphens/>
              <w:ind w:left="200" w:hanging="200"/>
              <w:rPr>
                <w:lang w:val="en-US"/>
              </w:rPr>
            </w:pPr>
            <w:r w:rsidRPr="002F3885">
              <w:rPr>
                <w:lang w:val="en-US"/>
              </w:rPr>
              <w:t>Net revenue</w:t>
            </w:r>
            <w:r w:rsidRPr="002F3885">
              <w:rPr>
                <w:lang w:val="en-US"/>
              </w:rPr>
              <w:tab/>
            </w:r>
          </w:p>
        </w:tc>
        <w:tc>
          <w:tcPr>
            <w:tcW w:w="723" w:type="pct"/>
            <w:tcBorders>
              <w:top w:val="nil"/>
              <w:left w:val="nil"/>
              <w:bottom w:val="nil"/>
              <w:right w:val="nil"/>
            </w:tcBorders>
            <w:vAlign w:val="bottom"/>
          </w:tcPr>
          <w:p w14:paraId="352863FE" w14:textId="77777777" w:rsidR="0052500F" w:rsidRPr="002F3885" w:rsidRDefault="00E72478"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242</w:t>
            </w:r>
          </w:p>
        </w:tc>
        <w:tc>
          <w:tcPr>
            <w:tcW w:w="723" w:type="pct"/>
            <w:tcBorders>
              <w:top w:val="nil"/>
              <w:left w:val="nil"/>
              <w:bottom w:val="nil"/>
              <w:right w:val="nil"/>
            </w:tcBorders>
            <w:vAlign w:val="bottom"/>
          </w:tcPr>
          <w:p w14:paraId="6990D499" w14:textId="77777777" w:rsidR="0052500F" w:rsidRPr="002F3885" w:rsidRDefault="001B176B" w:rsidP="00E724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E72478">
              <w:rPr>
                <w:lang w:val="en-US"/>
              </w:rPr>
              <w:t>650</w:t>
            </w:r>
          </w:p>
        </w:tc>
        <w:tc>
          <w:tcPr>
            <w:tcW w:w="723" w:type="pct"/>
            <w:tcBorders>
              <w:top w:val="nil"/>
              <w:left w:val="nil"/>
              <w:bottom w:val="nil"/>
              <w:right w:val="nil"/>
            </w:tcBorders>
            <w:vAlign w:val="bottom"/>
          </w:tcPr>
          <w:p w14:paraId="7438DCCD" w14:textId="77777777" w:rsidR="0052500F" w:rsidRPr="002F3885" w:rsidRDefault="001B176B" w:rsidP="00E724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E72478">
              <w:rPr>
                <w:lang w:val="en-US"/>
              </w:rPr>
              <w:t>892</w:t>
            </w:r>
          </w:p>
        </w:tc>
      </w:tr>
      <w:tr w:rsidR="0052500F" w:rsidRPr="002F3885" w14:paraId="01D2785E" w14:textId="77777777">
        <w:trPr>
          <w:cantSplit/>
        </w:trPr>
        <w:tc>
          <w:tcPr>
            <w:tcW w:w="2831" w:type="pct"/>
            <w:tcBorders>
              <w:top w:val="nil"/>
              <w:left w:val="nil"/>
              <w:bottom w:val="nil"/>
              <w:right w:val="nil"/>
            </w:tcBorders>
          </w:tcPr>
          <w:p w14:paraId="55FEF774" w14:textId="77777777" w:rsidR="0052500F" w:rsidRPr="002F3885" w:rsidRDefault="0052500F" w:rsidP="001F4982">
            <w:pPr>
              <w:widowControl/>
              <w:tabs>
                <w:tab w:val="right" w:leader="dot" w:pos="5460"/>
              </w:tabs>
              <w:suppressAutoHyphens/>
              <w:spacing w:after="20"/>
              <w:ind w:left="200" w:hanging="200"/>
              <w:rPr>
                <w:lang w:val="en-US"/>
              </w:rPr>
            </w:pPr>
            <w:r w:rsidRPr="002F3885">
              <w:rPr>
                <w:lang w:val="en-US"/>
              </w:rPr>
              <w:t>Distribution costs (excluding depreciation and amortisation)</w:t>
            </w:r>
            <w:r w:rsidRPr="002F3885">
              <w:rPr>
                <w:lang w:val="en-US"/>
              </w:rPr>
              <w:tab/>
            </w:r>
          </w:p>
        </w:tc>
        <w:tc>
          <w:tcPr>
            <w:tcW w:w="723" w:type="pct"/>
            <w:tcBorders>
              <w:top w:val="nil"/>
              <w:left w:val="nil"/>
              <w:bottom w:val="nil"/>
              <w:right w:val="nil"/>
            </w:tcBorders>
            <w:vAlign w:val="bottom"/>
          </w:tcPr>
          <w:p w14:paraId="3168037E" w14:textId="77777777" w:rsidR="0052500F" w:rsidRPr="002F3885" w:rsidRDefault="001B176B" w:rsidP="00E724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r w:rsidR="0007592B">
              <w:rPr>
                <w:lang w:val="en-US"/>
              </w:rPr>
              <w:t>29</w:t>
            </w:r>
            <w:r w:rsidR="00E72478">
              <w:rPr>
                <w:lang w:val="en-US"/>
              </w:rPr>
              <w:t>0</w:t>
            </w:r>
            <w:r>
              <w:rPr>
                <w:lang w:val="en-US"/>
              </w:rPr>
              <w:t>)</w:t>
            </w:r>
          </w:p>
        </w:tc>
        <w:tc>
          <w:tcPr>
            <w:tcW w:w="723" w:type="pct"/>
            <w:tcBorders>
              <w:top w:val="nil"/>
              <w:left w:val="nil"/>
              <w:bottom w:val="nil"/>
              <w:right w:val="nil"/>
            </w:tcBorders>
            <w:vAlign w:val="bottom"/>
          </w:tcPr>
          <w:p w14:paraId="7E5AD741" w14:textId="77777777" w:rsidR="0052500F" w:rsidRPr="002F3885" w:rsidRDefault="001B176B" w:rsidP="00E724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r w:rsidR="0007592B">
              <w:rPr>
                <w:lang w:val="en-US"/>
              </w:rPr>
              <w:t>1,</w:t>
            </w:r>
            <w:r w:rsidR="00E72478">
              <w:rPr>
                <w:lang w:val="en-US"/>
              </w:rPr>
              <w:t>161</w:t>
            </w:r>
            <w:r>
              <w:rPr>
                <w:lang w:val="en-US"/>
              </w:rPr>
              <w:t>)</w:t>
            </w:r>
          </w:p>
        </w:tc>
        <w:tc>
          <w:tcPr>
            <w:tcW w:w="723" w:type="pct"/>
            <w:tcBorders>
              <w:top w:val="nil"/>
              <w:left w:val="nil"/>
              <w:bottom w:val="nil"/>
              <w:right w:val="nil"/>
            </w:tcBorders>
            <w:vAlign w:val="bottom"/>
          </w:tcPr>
          <w:p w14:paraId="7E00DAAF" w14:textId="77777777" w:rsidR="0052500F" w:rsidRPr="002F3885" w:rsidRDefault="001C4316" w:rsidP="00E724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w:t>
            </w:r>
            <w:r w:rsidR="00E72478">
              <w:rPr>
                <w:lang w:val="en-US"/>
              </w:rPr>
              <w:t>451</w:t>
            </w:r>
            <w:r w:rsidR="001B176B">
              <w:rPr>
                <w:lang w:val="en-US"/>
              </w:rPr>
              <w:t>)</w:t>
            </w:r>
          </w:p>
        </w:tc>
      </w:tr>
      <w:tr w:rsidR="0052500F" w:rsidRPr="002F3885" w14:paraId="1DDAABBA" w14:textId="77777777">
        <w:trPr>
          <w:cantSplit/>
        </w:trPr>
        <w:tc>
          <w:tcPr>
            <w:tcW w:w="2831" w:type="pct"/>
            <w:tcBorders>
              <w:top w:val="nil"/>
              <w:left w:val="nil"/>
              <w:bottom w:val="nil"/>
              <w:right w:val="nil"/>
            </w:tcBorders>
          </w:tcPr>
          <w:p w14:paraId="02606D51" w14:textId="77777777" w:rsidR="0052500F" w:rsidRPr="002F3885" w:rsidRDefault="0052500F" w:rsidP="001F4982">
            <w:pPr>
              <w:widowControl/>
              <w:tabs>
                <w:tab w:val="right" w:leader="dot" w:pos="5460"/>
              </w:tabs>
              <w:suppressAutoHyphens/>
              <w:spacing w:after="40"/>
              <w:ind w:left="200" w:hanging="200"/>
              <w:rPr>
                <w:lang w:val="en-US"/>
              </w:rPr>
            </w:pPr>
            <w:r w:rsidRPr="002F3885">
              <w:rPr>
                <w:lang w:val="en-US"/>
              </w:rPr>
              <w:t>Segment result</w:t>
            </w:r>
            <w:r w:rsidRPr="002F3885">
              <w:rPr>
                <w:lang w:val="en-US"/>
              </w:rPr>
              <w:tab/>
            </w:r>
          </w:p>
        </w:tc>
        <w:tc>
          <w:tcPr>
            <w:tcW w:w="723" w:type="pct"/>
            <w:tcBorders>
              <w:top w:val="nil"/>
              <w:left w:val="nil"/>
              <w:bottom w:val="nil"/>
              <w:right w:val="nil"/>
            </w:tcBorders>
            <w:vAlign w:val="bottom"/>
          </w:tcPr>
          <w:p w14:paraId="484E74A0" w14:textId="77777777" w:rsidR="0052500F" w:rsidRPr="002F3885" w:rsidRDefault="001B176B" w:rsidP="00E724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w:t>
            </w:r>
            <w:r w:rsidR="00E72478">
              <w:rPr>
                <w:lang w:val="en-US"/>
              </w:rPr>
              <w:t>48</w:t>
            </w:r>
            <w:r>
              <w:rPr>
                <w:lang w:val="en-US"/>
              </w:rPr>
              <w:t>)</w:t>
            </w:r>
          </w:p>
        </w:tc>
        <w:tc>
          <w:tcPr>
            <w:tcW w:w="723" w:type="pct"/>
            <w:tcBorders>
              <w:top w:val="nil"/>
              <w:left w:val="nil"/>
              <w:bottom w:val="nil"/>
              <w:right w:val="nil"/>
            </w:tcBorders>
            <w:vAlign w:val="bottom"/>
          </w:tcPr>
          <w:p w14:paraId="04DCF172" w14:textId="77777777" w:rsidR="0052500F" w:rsidRPr="002F3885" w:rsidRDefault="001B176B" w:rsidP="00E724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1,</w:t>
            </w:r>
            <w:r w:rsidR="00E72478">
              <w:rPr>
                <w:lang w:val="en-US"/>
              </w:rPr>
              <w:t>489</w:t>
            </w:r>
          </w:p>
        </w:tc>
        <w:tc>
          <w:tcPr>
            <w:tcW w:w="723" w:type="pct"/>
            <w:tcBorders>
              <w:top w:val="nil"/>
              <w:left w:val="nil"/>
              <w:bottom w:val="nil"/>
              <w:right w:val="nil"/>
            </w:tcBorders>
            <w:vAlign w:val="bottom"/>
          </w:tcPr>
          <w:p w14:paraId="2B274DA6" w14:textId="77777777" w:rsidR="0052500F" w:rsidRPr="002F3885" w:rsidRDefault="001B176B" w:rsidP="001C431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1,44</w:t>
            </w:r>
            <w:r w:rsidR="001C4316">
              <w:rPr>
                <w:lang w:val="en-US"/>
              </w:rPr>
              <w:t>1</w:t>
            </w:r>
          </w:p>
        </w:tc>
      </w:tr>
      <w:tr w:rsidR="0052500F" w:rsidRPr="00195074" w14:paraId="44FFFA64" w14:textId="77777777">
        <w:trPr>
          <w:cantSplit/>
        </w:trPr>
        <w:tc>
          <w:tcPr>
            <w:tcW w:w="2831" w:type="pct"/>
            <w:tcBorders>
              <w:top w:val="nil"/>
              <w:left w:val="nil"/>
              <w:bottom w:val="nil"/>
              <w:right w:val="nil"/>
            </w:tcBorders>
          </w:tcPr>
          <w:p w14:paraId="68FAD0EA" w14:textId="77777777" w:rsidR="0052500F" w:rsidRPr="002F3885" w:rsidRDefault="0052500F" w:rsidP="001F4982">
            <w:pPr>
              <w:widowControl/>
              <w:tabs>
                <w:tab w:val="right" w:leader="dot" w:pos="5460"/>
              </w:tabs>
              <w:suppressAutoHyphens/>
              <w:ind w:left="200" w:hanging="200"/>
              <w:rPr>
                <w:lang w:val="en-US"/>
              </w:rPr>
            </w:pPr>
            <w:r w:rsidRPr="002F3885">
              <w:rPr>
                <w:lang w:val="en-US"/>
              </w:rPr>
              <w:t>Administration expenses</w:t>
            </w:r>
            <w:r w:rsidRPr="002F3885">
              <w:rPr>
                <w:lang w:val="en-US"/>
              </w:rPr>
              <w:tab/>
            </w:r>
          </w:p>
        </w:tc>
        <w:tc>
          <w:tcPr>
            <w:tcW w:w="723" w:type="pct"/>
            <w:tcBorders>
              <w:top w:val="nil"/>
              <w:left w:val="nil"/>
              <w:bottom w:val="nil"/>
              <w:right w:val="nil"/>
            </w:tcBorders>
            <w:vAlign w:val="bottom"/>
          </w:tcPr>
          <w:p w14:paraId="792D92BF"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64639F3F"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5CE12973" w14:textId="77777777" w:rsidR="0052500F" w:rsidRPr="00195074" w:rsidRDefault="001B176B" w:rsidP="00537E1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r w:rsidR="00537E15">
              <w:rPr>
                <w:lang w:val="en-US"/>
              </w:rPr>
              <w:t>3,110</w:t>
            </w:r>
            <w:r>
              <w:rPr>
                <w:lang w:val="en-US"/>
              </w:rPr>
              <w:t>)</w:t>
            </w:r>
          </w:p>
        </w:tc>
      </w:tr>
      <w:tr w:rsidR="0052500F" w:rsidRPr="002F3885" w14:paraId="5694388F" w14:textId="77777777">
        <w:trPr>
          <w:cantSplit/>
        </w:trPr>
        <w:tc>
          <w:tcPr>
            <w:tcW w:w="2831" w:type="pct"/>
            <w:tcBorders>
              <w:top w:val="nil"/>
              <w:left w:val="nil"/>
              <w:bottom w:val="nil"/>
              <w:right w:val="nil"/>
            </w:tcBorders>
          </w:tcPr>
          <w:p w14:paraId="2B35B176" w14:textId="77777777" w:rsidR="0052500F" w:rsidRPr="002F3885" w:rsidRDefault="0052500F" w:rsidP="001F4982">
            <w:pPr>
              <w:widowControl/>
              <w:tabs>
                <w:tab w:val="right" w:leader="dot" w:pos="5460"/>
              </w:tabs>
              <w:suppressAutoHyphens/>
              <w:ind w:left="200" w:hanging="200"/>
              <w:rPr>
                <w:lang w:val="en-US"/>
              </w:rPr>
            </w:pPr>
            <w:r w:rsidRPr="002F3885">
              <w:rPr>
                <w:lang w:val="en-US"/>
              </w:rPr>
              <w:t>Depreciation</w:t>
            </w:r>
            <w:r w:rsidRPr="002F3885">
              <w:rPr>
                <w:lang w:val="en-US"/>
              </w:rPr>
              <w:tab/>
            </w:r>
          </w:p>
        </w:tc>
        <w:tc>
          <w:tcPr>
            <w:tcW w:w="723" w:type="pct"/>
            <w:tcBorders>
              <w:top w:val="nil"/>
              <w:left w:val="nil"/>
              <w:bottom w:val="nil"/>
              <w:right w:val="nil"/>
            </w:tcBorders>
            <w:vAlign w:val="bottom"/>
          </w:tcPr>
          <w:p w14:paraId="45E5BB42"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194DA015"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5202F595" w14:textId="77777777" w:rsidR="0052500F" w:rsidRPr="002F3885" w:rsidRDefault="001B176B"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(211)</w:t>
            </w:r>
          </w:p>
        </w:tc>
      </w:tr>
      <w:tr w:rsidR="0052500F" w:rsidRPr="002F3885" w14:paraId="6EBB049F" w14:textId="77777777">
        <w:trPr>
          <w:cantSplit/>
        </w:trPr>
        <w:tc>
          <w:tcPr>
            <w:tcW w:w="2831" w:type="pct"/>
            <w:tcBorders>
              <w:top w:val="nil"/>
              <w:left w:val="nil"/>
              <w:bottom w:val="nil"/>
              <w:right w:val="nil"/>
            </w:tcBorders>
          </w:tcPr>
          <w:p w14:paraId="0F4AA137" w14:textId="77777777" w:rsidR="0052500F" w:rsidRPr="002F3885" w:rsidRDefault="0052500F" w:rsidP="001F4982">
            <w:pPr>
              <w:widowControl/>
              <w:tabs>
                <w:tab w:val="right" w:leader="dot" w:pos="5460"/>
              </w:tabs>
              <w:suppressAutoHyphens/>
              <w:ind w:left="200" w:hanging="200"/>
              <w:rPr>
                <w:lang w:val="en-US"/>
              </w:rPr>
            </w:pPr>
            <w:r w:rsidRPr="002F3885">
              <w:rPr>
                <w:lang w:val="en-US"/>
              </w:rPr>
              <w:t>Amortisation of intangible assets</w:t>
            </w:r>
            <w:r w:rsidRPr="002F3885">
              <w:rPr>
                <w:lang w:val="en-US"/>
              </w:rPr>
              <w:tab/>
            </w:r>
          </w:p>
        </w:tc>
        <w:tc>
          <w:tcPr>
            <w:tcW w:w="723" w:type="pct"/>
            <w:tcBorders>
              <w:top w:val="nil"/>
              <w:left w:val="nil"/>
              <w:bottom w:val="nil"/>
              <w:right w:val="nil"/>
            </w:tcBorders>
            <w:vAlign w:val="bottom"/>
          </w:tcPr>
          <w:p w14:paraId="3D177799"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48540066"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59A01E66" w14:textId="77777777" w:rsidR="0052500F" w:rsidRPr="002F3885" w:rsidRDefault="001B176B"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(701)</w:t>
            </w:r>
          </w:p>
        </w:tc>
      </w:tr>
      <w:tr w:rsidR="0052500F" w:rsidRPr="002F3885" w14:paraId="5038C79E" w14:textId="77777777">
        <w:trPr>
          <w:cantSplit/>
        </w:trPr>
        <w:tc>
          <w:tcPr>
            <w:tcW w:w="2831" w:type="pct"/>
            <w:tcBorders>
              <w:top w:val="nil"/>
              <w:left w:val="nil"/>
              <w:bottom w:val="nil"/>
              <w:right w:val="nil"/>
            </w:tcBorders>
          </w:tcPr>
          <w:p w14:paraId="17AD323D" w14:textId="77777777" w:rsidR="0052500F" w:rsidRPr="002F3885" w:rsidRDefault="0052500F" w:rsidP="001F4982">
            <w:pPr>
              <w:widowControl/>
              <w:tabs>
                <w:tab w:val="right" w:leader="dot" w:pos="5460"/>
              </w:tabs>
              <w:suppressAutoHyphens/>
              <w:spacing w:after="20"/>
              <w:ind w:left="200" w:hanging="200"/>
              <w:rPr>
                <w:lang w:val="en-US"/>
              </w:rPr>
            </w:pPr>
            <w:r w:rsidRPr="002F3885">
              <w:rPr>
                <w:lang w:val="en-US"/>
              </w:rPr>
              <w:t>Finance income</w:t>
            </w:r>
            <w:r w:rsidRPr="002F3885">
              <w:rPr>
                <w:lang w:val="en-US"/>
              </w:rPr>
              <w:tab/>
            </w:r>
          </w:p>
        </w:tc>
        <w:tc>
          <w:tcPr>
            <w:tcW w:w="723" w:type="pct"/>
            <w:tcBorders>
              <w:top w:val="nil"/>
              <w:left w:val="nil"/>
              <w:bottom w:val="nil"/>
              <w:right w:val="nil"/>
            </w:tcBorders>
            <w:vAlign w:val="bottom"/>
          </w:tcPr>
          <w:p w14:paraId="6A6D05FB"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738B5462"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43312A83" w14:textId="77777777" w:rsidR="0052500F" w:rsidRPr="002F3885" w:rsidRDefault="001B176B"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19</w:t>
            </w:r>
          </w:p>
        </w:tc>
      </w:tr>
      <w:tr w:rsidR="0052500F" w:rsidRPr="002F3885" w14:paraId="7217A71D" w14:textId="77777777">
        <w:trPr>
          <w:cantSplit/>
        </w:trPr>
        <w:tc>
          <w:tcPr>
            <w:tcW w:w="2831" w:type="pct"/>
            <w:tcBorders>
              <w:top w:val="nil"/>
              <w:left w:val="nil"/>
              <w:bottom w:val="nil"/>
              <w:right w:val="nil"/>
            </w:tcBorders>
          </w:tcPr>
          <w:p w14:paraId="2D4EE50C" w14:textId="77777777" w:rsidR="0052500F" w:rsidRPr="002F3885" w:rsidRDefault="0052500F" w:rsidP="001F4982">
            <w:pPr>
              <w:widowControl/>
              <w:tabs>
                <w:tab w:val="right" w:leader="dot" w:pos="5460"/>
              </w:tabs>
              <w:suppressAutoHyphens/>
              <w:ind w:left="200" w:hanging="200"/>
              <w:rPr>
                <w:lang w:val="en-US"/>
              </w:rPr>
            </w:pPr>
            <w:r w:rsidRPr="002F3885">
              <w:rPr>
                <w:lang w:val="en-US"/>
              </w:rPr>
              <w:t>Loss before taxation</w:t>
            </w:r>
            <w:r w:rsidRPr="002F3885">
              <w:rPr>
                <w:lang w:val="en-US"/>
              </w:rPr>
              <w:tab/>
            </w:r>
          </w:p>
        </w:tc>
        <w:tc>
          <w:tcPr>
            <w:tcW w:w="723" w:type="pct"/>
            <w:tcBorders>
              <w:top w:val="nil"/>
              <w:left w:val="nil"/>
              <w:bottom w:val="nil"/>
              <w:right w:val="nil"/>
            </w:tcBorders>
            <w:vAlign w:val="bottom"/>
          </w:tcPr>
          <w:p w14:paraId="46B5BF5F"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457B7A53"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2D10A1B0" w14:textId="77777777" w:rsidR="0052500F" w:rsidRPr="002F3885" w:rsidRDefault="001B176B" w:rsidP="00537E15">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537E15">
              <w:rPr>
                <w:lang w:val="en-US"/>
              </w:rPr>
              <w:t>562</w:t>
            </w:r>
            <w:r>
              <w:rPr>
                <w:lang w:val="en-US"/>
              </w:rPr>
              <w:t>)</w:t>
            </w:r>
          </w:p>
        </w:tc>
      </w:tr>
      <w:tr w:rsidR="0052500F" w:rsidRPr="002F3885" w14:paraId="119BFFFF" w14:textId="77777777">
        <w:trPr>
          <w:cantSplit/>
        </w:trPr>
        <w:tc>
          <w:tcPr>
            <w:tcW w:w="2831" w:type="pct"/>
            <w:tcBorders>
              <w:top w:val="nil"/>
              <w:left w:val="nil"/>
              <w:bottom w:val="nil"/>
              <w:right w:val="nil"/>
            </w:tcBorders>
          </w:tcPr>
          <w:p w14:paraId="1072FCFF" w14:textId="77777777" w:rsidR="0052500F" w:rsidRPr="002F3885" w:rsidRDefault="0052500F" w:rsidP="001F4982">
            <w:pPr>
              <w:widowControl/>
              <w:tabs>
                <w:tab w:val="right" w:leader="dot" w:pos="5460"/>
              </w:tabs>
              <w:suppressAutoHyphens/>
              <w:spacing w:after="20"/>
              <w:ind w:left="200" w:hanging="200"/>
              <w:rPr>
                <w:lang w:val="en-US"/>
              </w:rPr>
            </w:pPr>
            <w:r w:rsidRPr="002F3885">
              <w:rPr>
                <w:lang w:val="en-US"/>
              </w:rPr>
              <w:t>Taxation</w:t>
            </w:r>
            <w:r w:rsidRPr="002F3885">
              <w:rPr>
                <w:lang w:val="en-US"/>
              </w:rPr>
              <w:tab/>
            </w:r>
          </w:p>
        </w:tc>
        <w:tc>
          <w:tcPr>
            <w:tcW w:w="723" w:type="pct"/>
            <w:tcBorders>
              <w:top w:val="nil"/>
              <w:left w:val="nil"/>
              <w:bottom w:val="nil"/>
              <w:right w:val="nil"/>
            </w:tcBorders>
            <w:vAlign w:val="bottom"/>
          </w:tcPr>
          <w:p w14:paraId="2660870C"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6029AAFA"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39912DEF" w14:textId="77777777" w:rsidR="0052500F" w:rsidRPr="002F3885" w:rsidRDefault="001B176B" w:rsidP="001F498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r>
      <w:tr w:rsidR="0052500F" w:rsidRPr="002F3885" w14:paraId="09756320" w14:textId="77777777">
        <w:trPr>
          <w:cantSplit/>
        </w:trPr>
        <w:tc>
          <w:tcPr>
            <w:tcW w:w="2831" w:type="pct"/>
            <w:tcBorders>
              <w:top w:val="nil"/>
              <w:left w:val="nil"/>
              <w:bottom w:val="nil"/>
              <w:right w:val="nil"/>
            </w:tcBorders>
          </w:tcPr>
          <w:p w14:paraId="28B888C5" w14:textId="77777777" w:rsidR="0052500F" w:rsidRPr="002F3885" w:rsidRDefault="00291767" w:rsidP="001F4982">
            <w:pPr>
              <w:widowControl/>
              <w:tabs>
                <w:tab w:val="right" w:leader="dot" w:pos="5460"/>
              </w:tabs>
              <w:suppressAutoHyphens/>
              <w:spacing w:after="40"/>
              <w:ind w:left="200" w:hanging="200"/>
              <w:rPr>
                <w:lang w:val="en-US"/>
              </w:rPr>
            </w:pPr>
            <w:r>
              <w:rPr>
                <w:lang w:val="en-US"/>
              </w:rPr>
              <w:t>Loss</w:t>
            </w:r>
            <w:r w:rsidR="0052500F" w:rsidRPr="002F3885">
              <w:rPr>
                <w:lang w:val="en-US"/>
              </w:rPr>
              <w:t xml:space="preserve"> for the </w:t>
            </w:r>
            <w:r w:rsidR="00DE182D">
              <w:rPr>
                <w:lang w:val="en-US"/>
              </w:rPr>
              <w:t>period</w:t>
            </w:r>
            <w:r w:rsidR="0052500F" w:rsidRPr="002F3885">
              <w:rPr>
                <w:lang w:val="en-US"/>
              </w:rPr>
              <w:t xml:space="preserve"> after taxation</w:t>
            </w:r>
            <w:r w:rsidR="0052500F" w:rsidRPr="002F3885">
              <w:rPr>
                <w:lang w:val="en-US"/>
              </w:rPr>
              <w:tab/>
            </w:r>
          </w:p>
        </w:tc>
        <w:tc>
          <w:tcPr>
            <w:tcW w:w="723" w:type="pct"/>
            <w:tcBorders>
              <w:top w:val="nil"/>
              <w:left w:val="nil"/>
              <w:bottom w:val="nil"/>
              <w:right w:val="nil"/>
            </w:tcBorders>
            <w:vAlign w:val="bottom"/>
          </w:tcPr>
          <w:p w14:paraId="4A63AAB5"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6C98C3FC" w14:textId="77777777" w:rsidR="0052500F" w:rsidRPr="002F3885" w:rsidRDefault="0052500F" w:rsidP="001F4982">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3BA37968" w14:textId="77777777" w:rsidR="0052500F" w:rsidRPr="002F3885" w:rsidRDefault="001B176B" w:rsidP="00537E15">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w:t>
            </w:r>
            <w:r w:rsidR="00537E15">
              <w:rPr>
                <w:lang w:val="en-US"/>
              </w:rPr>
              <w:t>562</w:t>
            </w:r>
            <w:r>
              <w:rPr>
                <w:lang w:val="en-US"/>
              </w:rPr>
              <w:t>)</w:t>
            </w:r>
          </w:p>
        </w:tc>
      </w:tr>
    </w:tbl>
    <w:p w14:paraId="77687C04" w14:textId="77777777" w:rsidR="00FF5076" w:rsidRDefault="00FF5076">
      <w:pPr>
        <w:widowControl/>
        <w:autoSpaceDE/>
        <w:autoSpaceDN/>
        <w:adjustRightInd/>
        <w:rPr>
          <w:b/>
          <w:bCs/>
          <w:lang w:val="en-US"/>
        </w:rPr>
      </w:pPr>
    </w:p>
    <w:p w14:paraId="7E6AAAE6" w14:textId="77777777" w:rsidR="008A26F4" w:rsidRDefault="008A26F4">
      <w:pPr>
        <w:widowControl/>
        <w:autoSpaceDE/>
        <w:autoSpaceDN/>
        <w:adjustRightInd/>
        <w:rPr>
          <w:b/>
          <w:bCs/>
          <w:sz w:val="24"/>
          <w:szCs w:val="24"/>
          <w:lang w:val="en-US"/>
        </w:rPr>
      </w:pPr>
      <w:r>
        <w:rPr>
          <w:b/>
          <w:bCs/>
          <w:sz w:val="24"/>
          <w:szCs w:val="24"/>
          <w:lang w:val="en-US"/>
        </w:rPr>
        <w:br w:type="page"/>
      </w:r>
    </w:p>
    <w:p w14:paraId="5D2B26B9"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5B797A12"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Pr>
          <w:b/>
          <w:bCs/>
          <w:sz w:val="24"/>
          <w:szCs w:val="24"/>
          <w:lang w:val="en-US"/>
        </w:rPr>
        <w:t>period</w:t>
      </w:r>
      <w:r w:rsidRPr="00221793">
        <w:rPr>
          <w:b/>
          <w:bCs/>
          <w:sz w:val="24"/>
          <w:szCs w:val="24"/>
          <w:lang w:val="en-US"/>
        </w:rPr>
        <w:t xml:space="preserve"> ended </w:t>
      </w:r>
      <w:r>
        <w:rPr>
          <w:b/>
          <w:bCs/>
          <w:sz w:val="24"/>
          <w:szCs w:val="24"/>
          <w:lang w:val="en-US"/>
        </w:rPr>
        <w:t>30 June 2015</w:t>
      </w:r>
    </w:p>
    <w:p w14:paraId="5E4CEFD6" w14:textId="77777777" w:rsidR="008A26F4" w:rsidRPr="00221793" w:rsidRDefault="008A26F4" w:rsidP="008A26F4">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Notes to the financial statements</w:t>
      </w:r>
      <w:r>
        <w:rPr>
          <w:b/>
          <w:bCs/>
          <w:sz w:val="24"/>
          <w:szCs w:val="24"/>
          <w:lang w:val="en-US"/>
        </w:rPr>
        <w:t xml:space="preserve"> </w:t>
      </w:r>
      <w:r w:rsidRPr="000E5FB8">
        <w:rPr>
          <w:b/>
          <w:bCs/>
          <w:i/>
          <w:sz w:val="24"/>
          <w:szCs w:val="24"/>
          <w:lang w:val="en-US"/>
        </w:rPr>
        <w:t>(continued)</w:t>
      </w:r>
    </w:p>
    <w:p w14:paraId="4899C2C7" w14:textId="77777777" w:rsidR="00EE413E" w:rsidRPr="002B3A13" w:rsidRDefault="00EE413E" w:rsidP="002B3A13">
      <w:pPr>
        <w:keepNext/>
        <w:keepLines/>
        <w:widowControl/>
        <w:tabs>
          <w:tab w:val="left" w:pos="720"/>
          <w:tab w:val="left" w:pos="1440"/>
          <w:tab w:val="center" w:pos="5400"/>
        </w:tabs>
        <w:suppressAutoHyphens/>
        <w:spacing w:after="240"/>
        <w:jc w:val="center"/>
        <w:rPr>
          <w:b/>
          <w:bCs/>
          <w:sz w:val="24"/>
          <w:szCs w:val="24"/>
          <w:lang w:val="en-US"/>
        </w:rPr>
      </w:pPr>
    </w:p>
    <w:tbl>
      <w:tblPr>
        <w:tblpPr w:leftFromText="180" w:rightFromText="180" w:vertAnchor="text" w:horzAnchor="margin" w:tblpY="77"/>
        <w:tblW w:w="5000" w:type="pct"/>
        <w:tblCellMar>
          <w:left w:w="72" w:type="dxa"/>
          <w:right w:w="72" w:type="dxa"/>
        </w:tblCellMar>
        <w:tblLook w:val="0000" w:firstRow="0" w:lastRow="0" w:firstColumn="0" w:lastColumn="0" w:noHBand="0" w:noVBand="0"/>
      </w:tblPr>
      <w:tblGrid>
        <w:gridCol w:w="5460"/>
        <w:gridCol w:w="1394"/>
        <w:gridCol w:w="1394"/>
        <w:gridCol w:w="1394"/>
      </w:tblGrid>
      <w:tr w:rsidR="00EE413E" w:rsidRPr="002F3885" w14:paraId="304B73B5" w14:textId="77777777">
        <w:trPr>
          <w:cantSplit/>
        </w:trPr>
        <w:tc>
          <w:tcPr>
            <w:tcW w:w="2831" w:type="pct"/>
            <w:tcBorders>
              <w:top w:val="nil"/>
              <w:left w:val="nil"/>
              <w:bottom w:val="nil"/>
              <w:right w:val="nil"/>
            </w:tcBorders>
            <w:vAlign w:val="bottom"/>
          </w:tcPr>
          <w:p w14:paraId="4DD2248F" w14:textId="77777777" w:rsidR="00EE413E" w:rsidRPr="002F3885" w:rsidRDefault="00B511F4"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lang w:val="en-US"/>
              </w:rPr>
            </w:pPr>
            <w:r>
              <w:rPr>
                <w:b/>
                <w:bCs/>
                <w:sz w:val="16"/>
                <w:szCs w:val="18"/>
                <w:lang w:val="en-US"/>
              </w:rPr>
              <w:t xml:space="preserve">Period ended 30 June 2014 </w:t>
            </w:r>
            <w:r w:rsidR="00470E27">
              <w:rPr>
                <w:b/>
                <w:bCs/>
                <w:sz w:val="16"/>
                <w:szCs w:val="18"/>
                <w:lang w:val="en-US"/>
              </w:rPr>
              <w:t xml:space="preserve"> (Unaudited)</w:t>
            </w:r>
          </w:p>
        </w:tc>
        <w:tc>
          <w:tcPr>
            <w:tcW w:w="723" w:type="pct"/>
            <w:tcBorders>
              <w:top w:val="nil"/>
              <w:left w:val="nil"/>
              <w:bottom w:val="nil"/>
              <w:right w:val="nil"/>
            </w:tcBorders>
            <w:vAlign w:val="bottom"/>
          </w:tcPr>
          <w:p w14:paraId="11D15ABE" w14:textId="77777777" w:rsidR="00EE413E" w:rsidRPr="002F3885" w:rsidRDefault="00EE413E"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B2C</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2792E7DE" w14:textId="77777777" w:rsidR="00EE413E" w:rsidRPr="002F3885" w:rsidRDefault="00EE413E"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B2B</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49D5F601" w14:textId="77777777" w:rsidR="00EE413E" w:rsidRPr="002F3885" w:rsidRDefault="00EE413E" w:rsidP="00EE413E">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Total</w:t>
            </w:r>
            <w:r w:rsidRPr="002F3885">
              <w:rPr>
                <w:b/>
                <w:bCs/>
                <w:sz w:val="16"/>
                <w:szCs w:val="18"/>
                <w:lang w:val="en-US"/>
              </w:rPr>
              <w:br/>
            </w:r>
            <w:r>
              <w:rPr>
                <w:b/>
                <w:bCs/>
                <w:sz w:val="16"/>
                <w:szCs w:val="18"/>
                <w:lang w:val="en-US"/>
              </w:rPr>
              <w:t>£’</w:t>
            </w:r>
            <w:r w:rsidRPr="002F3885">
              <w:rPr>
                <w:b/>
                <w:bCs/>
                <w:sz w:val="16"/>
                <w:szCs w:val="18"/>
                <w:lang w:val="en-US"/>
              </w:rPr>
              <w:t>000</w:t>
            </w:r>
          </w:p>
        </w:tc>
      </w:tr>
      <w:tr w:rsidR="00B511F4" w:rsidRPr="002F3885" w14:paraId="524D5D71" w14:textId="77777777">
        <w:trPr>
          <w:cantSplit/>
        </w:trPr>
        <w:tc>
          <w:tcPr>
            <w:tcW w:w="2831" w:type="pct"/>
            <w:tcBorders>
              <w:top w:val="nil"/>
              <w:left w:val="nil"/>
              <w:bottom w:val="nil"/>
              <w:right w:val="nil"/>
            </w:tcBorders>
          </w:tcPr>
          <w:p w14:paraId="59A2BD72" w14:textId="77777777" w:rsidR="00B511F4" w:rsidRPr="002F3885" w:rsidRDefault="00B511F4" w:rsidP="00B511F4">
            <w:pPr>
              <w:widowControl/>
              <w:tabs>
                <w:tab w:val="right" w:leader="dot" w:pos="5460"/>
              </w:tabs>
              <w:suppressAutoHyphens/>
              <w:ind w:left="200" w:hanging="200"/>
              <w:rPr>
                <w:lang w:val="en-US"/>
              </w:rPr>
            </w:pPr>
            <w:r w:rsidRPr="002F3885">
              <w:rPr>
                <w:lang w:val="en-US"/>
              </w:rPr>
              <w:t>Net revenue</w:t>
            </w:r>
            <w:r w:rsidRPr="002F3885">
              <w:rPr>
                <w:lang w:val="en-US"/>
              </w:rPr>
              <w:tab/>
            </w:r>
          </w:p>
        </w:tc>
        <w:tc>
          <w:tcPr>
            <w:tcW w:w="723" w:type="pct"/>
            <w:tcBorders>
              <w:top w:val="nil"/>
              <w:left w:val="nil"/>
              <w:bottom w:val="nil"/>
              <w:right w:val="nil"/>
            </w:tcBorders>
            <w:vAlign w:val="bottom"/>
          </w:tcPr>
          <w:p w14:paraId="534A9E52"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319</w:t>
            </w:r>
          </w:p>
        </w:tc>
        <w:tc>
          <w:tcPr>
            <w:tcW w:w="723" w:type="pct"/>
            <w:tcBorders>
              <w:top w:val="nil"/>
              <w:left w:val="nil"/>
              <w:bottom w:val="nil"/>
              <w:right w:val="nil"/>
            </w:tcBorders>
            <w:vAlign w:val="bottom"/>
          </w:tcPr>
          <w:p w14:paraId="70A89CCF"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3,847</w:t>
            </w:r>
          </w:p>
        </w:tc>
        <w:tc>
          <w:tcPr>
            <w:tcW w:w="723" w:type="pct"/>
            <w:tcBorders>
              <w:top w:val="nil"/>
              <w:left w:val="nil"/>
              <w:bottom w:val="nil"/>
              <w:right w:val="nil"/>
            </w:tcBorders>
            <w:vAlign w:val="bottom"/>
          </w:tcPr>
          <w:p w14:paraId="0F94960E"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4,166</w:t>
            </w:r>
          </w:p>
        </w:tc>
      </w:tr>
      <w:tr w:rsidR="00B511F4" w:rsidRPr="002F3885" w14:paraId="427C19A2" w14:textId="77777777">
        <w:trPr>
          <w:cantSplit/>
        </w:trPr>
        <w:tc>
          <w:tcPr>
            <w:tcW w:w="2831" w:type="pct"/>
            <w:tcBorders>
              <w:top w:val="nil"/>
              <w:left w:val="nil"/>
              <w:bottom w:val="nil"/>
              <w:right w:val="nil"/>
            </w:tcBorders>
          </w:tcPr>
          <w:p w14:paraId="7D06A764" w14:textId="77777777" w:rsidR="00B511F4" w:rsidRPr="002F3885" w:rsidRDefault="00B511F4" w:rsidP="00B511F4">
            <w:pPr>
              <w:widowControl/>
              <w:tabs>
                <w:tab w:val="right" w:leader="dot" w:pos="5460"/>
              </w:tabs>
              <w:suppressAutoHyphens/>
              <w:spacing w:after="20"/>
              <w:ind w:left="200" w:hanging="200"/>
              <w:rPr>
                <w:lang w:val="en-US"/>
              </w:rPr>
            </w:pPr>
            <w:r w:rsidRPr="002F3885">
              <w:rPr>
                <w:lang w:val="en-US"/>
              </w:rPr>
              <w:t>Distribution costs (excluding depreciation and amortisation)</w:t>
            </w:r>
            <w:r w:rsidRPr="002F3885">
              <w:rPr>
                <w:lang w:val="en-US"/>
              </w:rPr>
              <w:tab/>
            </w:r>
          </w:p>
        </w:tc>
        <w:tc>
          <w:tcPr>
            <w:tcW w:w="723" w:type="pct"/>
            <w:tcBorders>
              <w:top w:val="nil"/>
              <w:left w:val="nil"/>
              <w:bottom w:val="nil"/>
              <w:right w:val="nil"/>
            </w:tcBorders>
            <w:vAlign w:val="bottom"/>
          </w:tcPr>
          <w:p w14:paraId="0350A463" w14:textId="77777777" w:rsidR="00B511F4" w:rsidRPr="002F3885" w:rsidRDefault="00B511F4"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(465)</w:t>
            </w:r>
          </w:p>
        </w:tc>
        <w:tc>
          <w:tcPr>
            <w:tcW w:w="723" w:type="pct"/>
            <w:tcBorders>
              <w:top w:val="nil"/>
              <w:left w:val="nil"/>
              <w:bottom w:val="nil"/>
              <w:right w:val="nil"/>
            </w:tcBorders>
            <w:vAlign w:val="bottom"/>
          </w:tcPr>
          <w:p w14:paraId="47BF2396" w14:textId="77777777" w:rsidR="00B511F4" w:rsidRPr="002F3885" w:rsidRDefault="00B511F4"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(716)</w:t>
            </w:r>
          </w:p>
        </w:tc>
        <w:tc>
          <w:tcPr>
            <w:tcW w:w="723" w:type="pct"/>
            <w:tcBorders>
              <w:top w:val="nil"/>
              <w:left w:val="nil"/>
              <w:bottom w:val="nil"/>
              <w:right w:val="nil"/>
            </w:tcBorders>
            <w:vAlign w:val="bottom"/>
          </w:tcPr>
          <w:p w14:paraId="0AC4FF20" w14:textId="77777777" w:rsidR="00B511F4" w:rsidRPr="002F3885" w:rsidRDefault="00B511F4"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(1,181)</w:t>
            </w:r>
          </w:p>
        </w:tc>
      </w:tr>
      <w:tr w:rsidR="00B511F4" w:rsidRPr="002F3885" w14:paraId="65DDF697" w14:textId="77777777">
        <w:trPr>
          <w:cantSplit/>
        </w:trPr>
        <w:tc>
          <w:tcPr>
            <w:tcW w:w="2831" w:type="pct"/>
            <w:tcBorders>
              <w:top w:val="nil"/>
              <w:left w:val="nil"/>
              <w:bottom w:val="nil"/>
              <w:right w:val="nil"/>
            </w:tcBorders>
          </w:tcPr>
          <w:p w14:paraId="2DF03FBB" w14:textId="77777777" w:rsidR="00B511F4" w:rsidRPr="002F3885" w:rsidRDefault="00B511F4" w:rsidP="00B511F4">
            <w:pPr>
              <w:widowControl/>
              <w:tabs>
                <w:tab w:val="right" w:leader="dot" w:pos="5460"/>
              </w:tabs>
              <w:suppressAutoHyphens/>
              <w:spacing w:after="40"/>
              <w:ind w:left="200" w:hanging="200"/>
              <w:rPr>
                <w:lang w:val="en-US"/>
              </w:rPr>
            </w:pPr>
            <w:r w:rsidRPr="002F3885">
              <w:rPr>
                <w:lang w:val="en-US"/>
              </w:rPr>
              <w:t>Segment result</w:t>
            </w:r>
            <w:r w:rsidRPr="002F3885">
              <w:rPr>
                <w:lang w:val="en-US"/>
              </w:rPr>
              <w:tab/>
            </w:r>
          </w:p>
        </w:tc>
        <w:tc>
          <w:tcPr>
            <w:tcW w:w="723" w:type="pct"/>
            <w:tcBorders>
              <w:top w:val="nil"/>
              <w:left w:val="nil"/>
              <w:bottom w:val="nil"/>
              <w:right w:val="nil"/>
            </w:tcBorders>
            <w:vAlign w:val="bottom"/>
          </w:tcPr>
          <w:p w14:paraId="74C9C7A4" w14:textId="77777777" w:rsidR="00B511F4" w:rsidRPr="002F3885" w:rsidRDefault="00B511F4" w:rsidP="00B511F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(146)</w:t>
            </w:r>
          </w:p>
        </w:tc>
        <w:tc>
          <w:tcPr>
            <w:tcW w:w="723" w:type="pct"/>
            <w:tcBorders>
              <w:top w:val="nil"/>
              <w:left w:val="nil"/>
              <w:bottom w:val="nil"/>
              <w:right w:val="nil"/>
            </w:tcBorders>
            <w:vAlign w:val="bottom"/>
          </w:tcPr>
          <w:p w14:paraId="7BFCCF31" w14:textId="77777777" w:rsidR="00B511F4" w:rsidRPr="002F3885" w:rsidRDefault="00B511F4" w:rsidP="00B511F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3,131</w:t>
            </w:r>
          </w:p>
        </w:tc>
        <w:tc>
          <w:tcPr>
            <w:tcW w:w="723" w:type="pct"/>
            <w:tcBorders>
              <w:top w:val="nil"/>
              <w:left w:val="nil"/>
              <w:bottom w:val="nil"/>
              <w:right w:val="nil"/>
            </w:tcBorders>
            <w:vAlign w:val="bottom"/>
          </w:tcPr>
          <w:p w14:paraId="2CA58B4E"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2,985</w:t>
            </w:r>
          </w:p>
        </w:tc>
      </w:tr>
      <w:tr w:rsidR="00B511F4" w:rsidRPr="002F3885" w14:paraId="412CAEDE" w14:textId="77777777">
        <w:trPr>
          <w:cantSplit/>
        </w:trPr>
        <w:tc>
          <w:tcPr>
            <w:tcW w:w="2831" w:type="pct"/>
            <w:tcBorders>
              <w:top w:val="nil"/>
              <w:left w:val="nil"/>
              <w:bottom w:val="nil"/>
              <w:right w:val="nil"/>
            </w:tcBorders>
          </w:tcPr>
          <w:p w14:paraId="0F49F518" w14:textId="77777777" w:rsidR="00B511F4" w:rsidRPr="002F3885" w:rsidRDefault="00B511F4" w:rsidP="00B511F4">
            <w:pPr>
              <w:widowControl/>
              <w:tabs>
                <w:tab w:val="right" w:leader="dot" w:pos="5460"/>
              </w:tabs>
              <w:suppressAutoHyphens/>
              <w:ind w:left="200" w:hanging="200"/>
              <w:rPr>
                <w:lang w:val="en-US"/>
              </w:rPr>
            </w:pPr>
            <w:r w:rsidRPr="002F3885">
              <w:rPr>
                <w:lang w:val="en-US"/>
              </w:rPr>
              <w:t>Administration expenses</w:t>
            </w:r>
            <w:r w:rsidRPr="002F3885">
              <w:rPr>
                <w:lang w:val="en-US"/>
              </w:rPr>
              <w:tab/>
            </w:r>
          </w:p>
        </w:tc>
        <w:tc>
          <w:tcPr>
            <w:tcW w:w="723" w:type="pct"/>
            <w:tcBorders>
              <w:top w:val="nil"/>
              <w:left w:val="nil"/>
              <w:bottom w:val="nil"/>
              <w:right w:val="nil"/>
            </w:tcBorders>
            <w:vAlign w:val="bottom"/>
          </w:tcPr>
          <w:p w14:paraId="234C6553"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44D7DF31"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289A43ED" w14:textId="77777777" w:rsidR="00B511F4" w:rsidRPr="00195074"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195074">
              <w:rPr>
                <w:lang w:val="en-US"/>
              </w:rPr>
              <w:t>(3,493)</w:t>
            </w:r>
          </w:p>
        </w:tc>
      </w:tr>
      <w:tr w:rsidR="00B511F4" w:rsidRPr="002F3885" w14:paraId="0B648BC6" w14:textId="77777777">
        <w:trPr>
          <w:cantSplit/>
        </w:trPr>
        <w:tc>
          <w:tcPr>
            <w:tcW w:w="2831" w:type="pct"/>
            <w:tcBorders>
              <w:top w:val="nil"/>
              <w:left w:val="nil"/>
              <w:bottom w:val="nil"/>
              <w:right w:val="nil"/>
            </w:tcBorders>
          </w:tcPr>
          <w:p w14:paraId="6A3D5755" w14:textId="77777777" w:rsidR="00B511F4" w:rsidRPr="002F3885" w:rsidRDefault="00B511F4" w:rsidP="00B511F4">
            <w:pPr>
              <w:widowControl/>
              <w:tabs>
                <w:tab w:val="right" w:leader="dot" w:pos="5460"/>
              </w:tabs>
              <w:suppressAutoHyphens/>
              <w:ind w:left="200" w:hanging="200"/>
              <w:rPr>
                <w:lang w:val="en-US"/>
              </w:rPr>
            </w:pPr>
            <w:r w:rsidRPr="002F3885">
              <w:rPr>
                <w:lang w:val="en-US"/>
              </w:rPr>
              <w:t>Depreciation</w:t>
            </w:r>
            <w:r w:rsidRPr="002F3885">
              <w:rPr>
                <w:lang w:val="en-US"/>
              </w:rPr>
              <w:tab/>
            </w:r>
          </w:p>
        </w:tc>
        <w:tc>
          <w:tcPr>
            <w:tcW w:w="723" w:type="pct"/>
            <w:tcBorders>
              <w:top w:val="nil"/>
              <w:left w:val="nil"/>
              <w:bottom w:val="nil"/>
              <w:right w:val="nil"/>
            </w:tcBorders>
            <w:vAlign w:val="bottom"/>
          </w:tcPr>
          <w:p w14:paraId="4E4C4C2B"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6012E3DD"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4FBC71BF"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(171)</w:t>
            </w:r>
          </w:p>
        </w:tc>
      </w:tr>
      <w:tr w:rsidR="00B511F4" w:rsidRPr="002F3885" w14:paraId="1EFA27C7" w14:textId="77777777">
        <w:trPr>
          <w:cantSplit/>
        </w:trPr>
        <w:tc>
          <w:tcPr>
            <w:tcW w:w="2831" w:type="pct"/>
            <w:tcBorders>
              <w:top w:val="nil"/>
              <w:left w:val="nil"/>
              <w:bottom w:val="nil"/>
              <w:right w:val="nil"/>
            </w:tcBorders>
          </w:tcPr>
          <w:p w14:paraId="2B52E72C" w14:textId="77777777" w:rsidR="00B511F4" w:rsidRPr="002F3885" w:rsidRDefault="00B511F4" w:rsidP="00B511F4">
            <w:pPr>
              <w:widowControl/>
              <w:tabs>
                <w:tab w:val="right" w:leader="dot" w:pos="5460"/>
              </w:tabs>
              <w:suppressAutoHyphens/>
              <w:ind w:left="200" w:hanging="200"/>
              <w:rPr>
                <w:lang w:val="en-US"/>
              </w:rPr>
            </w:pPr>
            <w:r w:rsidRPr="002F3885">
              <w:rPr>
                <w:lang w:val="en-US"/>
              </w:rPr>
              <w:t>Amortisation of intangible assets</w:t>
            </w:r>
            <w:r w:rsidRPr="002F3885">
              <w:rPr>
                <w:lang w:val="en-US"/>
              </w:rPr>
              <w:tab/>
            </w:r>
          </w:p>
        </w:tc>
        <w:tc>
          <w:tcPr>
            <w:tcW w:w="723" w:type="pct"/>
            <w:tcBorders>
              <w:top w:val="nil"/>
              <w:left w:val="nil"/>
              <w:bottom w:val="nil"/>
              <w:right w:val="nil"/>
            </w:tcBorders>
            <w:vAlign w:val="bottom"/>
          </w:tcPr>
          <w:p w14:paraId="267B5E53"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65DE59BC"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1E257B5C"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(271)</w:t>
            </w:r>
          </w:p>
        </w:tc>
      </w:tr>
      <w:tr w:rsidR="00B511F4" w:rsidRPr="002F3885" w14:paraId="4E1BF4DC" w14:textId="77777777">
        <w:trPr>
          <w:cantSplit/>
        </w:trPr>
        <w:tc>
          <w:tcPr>
            <w:tcW w:w="2831" w:type="pct"/>
            <w:tcBorders>
              <w:top w:val="nil"/>
              <w:left w:val="nil"/>
              <w:bottom w:val="nil"/>
              <w:right w:val="nil"/>
            </w:tcBorders>
          </w:tcPr>
          <w:p w14:paraId="7DD4CF56" w14:textId="77777777" w:rsidR="00B511F4" w:rsidRPr="002F3885" w:rsidRDefault="00B511F4" w:rsidP="00B511F4">
            <w:pPr>
              <w:widowControl/>
              <w:tabs>
                <w:tab w:val="right" w:leader="dot" w:pos="5460"/>
              </w:tabs>
              <w:suppressAutoHyphens/>
              <w:spacing w:after="20"/>
              <w:ind w:left="200" w:hanging="200"/>
              <w:rPr>
                <w:lang w:val="en-US"/>
              </w:rPr>
            </w:pPr>
            <w:r w:rsidRPr="002F3885">
              <w:rPr>
                <w:lang w:val="en-US"/>
              </w:rPr>
              <w:t>Finance income</w:t>
            </w:r>
            <w:r w:rsidRPr="002F3885">
              <w:rPr>
                <w:lang w:val="en-US"/>
              </w:rPr>
              <w:tab/>
            </w:r>
          </w:p>
        </w:tc>
        <w:tc>
          <w:tcPr>
            <w:tcW w:w="723" w:type="pct"/>
            <w:tcBorders>
              <w:top w:val="nil"/>
              <w:left w:val="nil"/>
              <w:bottom w:val="nil"/>
              <w:right w:val="nil"/>
            </w:tcBorders>
            <w:vAlign w:val="bottom"/>
          </w:tcPr>
          <w:p w14:paraId="68231279"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24888C18"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257329EB" w14:textId="77777777" w:rsidR="00B511F4" w:rsidRPr="002F3885" w:rsidRDefault="00B511F4"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42</w:t>
            </w:r>
          </w:p>
        </w:tc>
      </w:tr>
      <w:tr w:rsidR="00B511F4" w:rsidRPr="002F3885" w14:paraId="2D91D8C2" w14:textId="77777777">
        <w:trPr>
          <w:cantSplit/>
        </w:trPr>
        <w:tc>
          <w:tcPr>
            <w:tcW w:w="2831" w:type="pct"/>
            <w:tcBorders>
              <w:top w:val="nil"/>
              <w:left w:val="nil"/>
              <w:bottom w:val="nil"/>
              <w:right w:val="nil"/>
            </w:tcBorders>
          </w:tcPr>
          <w:p w14:paraId="218D899E" w14:textId="77777777" w:rsidR="00B511F4" w:rsidRPr="002F3885" w:rsidRDefault="000F44B8" w:rsidP="00B511F4">
            <w:pPr>
              <w:widowControl/>
              <w:tabs>
                <w:tab w:val="right" w:leader="dot" w:pos="5460"/>
              </w:tabs>
              <w:suppressAutoHyphens/>
              <w:ind w:left="200" w:hanging="200"/>
              <w:rPr>
                <w:lang w:val="en-US"/>
              </w:rPr>
            </w:pPr>
            <w:r>
              <w:rPr>
                <w:lang w:val="en-US"/>
              </w:rPr>
              <w:t>Loss</w:t>
            </w:r>
            <w:r w:rsidR="00B511F4" w:rsidRPr="002F3885">
              <w:rPr>
                <w:lang w:val="en-US"/>
              </w:rPr>
              <w:t xml:space="preserve"> before taxation</w:t>
            </w:r>
            <w:r w:rsidR="00B511F4" w:rsidRPr="002F3885">
              <w:rPr>
                <w:lang w:val="en-US"/>
              </w:rPr>
              <w:tab/>
            </w:r>
          </w:p>
        </w:tc>
        <w:tc>
          <w:tcPr>
            <w:tcW w:w="723" w:type="pct"/>
            <w:tcBorders>
              <w:top w:val="nil"/>
              <w:left w:val="nil"/>
              <w:bottom w:val="nil"/>
              <w:right w:val="nil"/>
            </w:tcBorders>
            <w:vAlign w:val="bottom"/>
          </w:tcPr>
          <w:p w14:paraId="4DE5493D"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70379701"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1FA8E625"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(908)</w:t>
            </w:r>
          </w:p>
        </w:tc>
      </w:tr>
      <w:tr w:rsidR="00B511F4" w:rsidRPr="002F3885" w14:paraId="41AA89C8" w14:textId="77777777">
        <w:trPr>
          <w:cantSplit/>
        </w:trPr>
        <w:tc>
          <w:tcPr>
            <w:tcW w:w="2831" w:type="pct"/>
            <w:tcBorders>
              <w:top w:val="nil"/>
              <w:left w:val="nil"/>
              <w:bottom w:val="nil"/>
              <w:right w:val="nil"/>
            </w:tcBorders>
          </w:tcPr>
          <w:p w14:paraId="4F35509C" w14:textId="77777777" w:rsidR="00B511F4" w:rsidRPr="002F3885" w:rsidRDefault="00B511F4" w:rsidP="00B511F4">
            <w:pPr>
              <w:widowControl/>
              <w:tabs>
                <w:tab w:val="right" w:leader="dot" w:pos="5460"/>
              </w:tabs>
              <w:suppressAutoHyphens/>
              <w:spacing w:after="20"/>
              <w:ind w:left="200" w:hanging="200"/>
              <w:rPr>
                <w:lang w:val="en-US"/>
              </w:rPr>
            </w:pPr>
            <w:r w:rsidRPr="002F3885">
              <w:rPr>
                <w:lang w:val="en-US"/>
              </w:rPr>
              <w:t>Taxation</w:t>
            </w:r>
            <w:r w:rsidRPr="002F3885">
              <w:rPr>
                <w:lang w:val="en-US"/>
              </w:rPr>
              <w:tab/>
            </w:r>
          </w:p>
        </w:tc>
        <w:tc>
          <w:tcPr>
            <w:tcW w:w="723" w:type="pct"/>
            <w:tcBorders>
              <w:top w:val="nil"/>
              <w:left w:val="nil"/>
              <w:bottom w:val="nil"/>
              <w:right w:val="nil"/>
            </w:tcBorders>
            <w:vAlign w:val="bottom"/>
          </w:tcPr>
          <w:p w14:paraId="4B624B1C"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14E8543B"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2FF413DB" w14:textId="77777777" w:rsidR="00B511F4" w:rsidRPr="002F3885" w:rsidRDefault="00374BA5"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sidRPr="00B41B5A">
              <w:rPr>
                <w:lang w:val="en-US"/>
              </w:rPr>
              <w:t>—</w:t>
            </w:r>
          </w:p>
        </w:tc>
      </w:tr>
      <w:tr w:rsidR="00B511F4" w:rsidRPr="002F3885" w14:paraId="4D2C62A8" w14:textId="77777777">
        <w:trPr>
          <w:cantSplit/>
        </w:trPr>
        <w:tc>
          <w:tcPr>
            <w:tcW w:w="2831" w:type="pct"/>
            <w:tcBorders>
              <w:top w:val="nil"/>
              <w:left w:val="nil"/>
              <w:bottom w:val="nil"/>
              <w:right w:val="nil"/>
            </w:tcBorders>
          </w:tcPr>
          <w:p w14:paraId="46749399" w14:textId="77777777" w:rsidR="00B511F4" w:rsidRPr="002F3885" w:rsidRDefault="000F44B8" w:rsidP="00B511F4">
            <w:pPr>
              <w:widowControl/>
              <w:tabs>
                <w:tab w:val="right" w:leader="dot" w:pos="5460"/>
              </w:tabs>
              <w:suppressAutoHyphens/>
              <w:spacing w:after="40"/>
              <w:ind w:left="200" w:hanging="200"/>
              <w:rPr>
                <w:lang w:val="en-US"/>
              </w:rPr>
            </w:pPr>
            <w:r>
              <w:rPr>
                <w:lang w:val="en-US"/>
              </w:rPr>
              <w:t>Loss</w:t>
            </w:r>
            <w:r w:rsidR="00B511F4" w:rsidRPr="002F3885">
              <w:rPr>
                <w:lang w:val="en-US"/>
              </w:rPr>
              <w:t xml:space="preserve"> for the </w:t>
            </w:r>
            <w:r w:rsidR="00B511F4">
              <w:rPr>
                <w:lang w:val="en-US"/>
              </w:rPr>
              <w:t>period</w:t>
            </w:r>
            <w:r w:rsidR="00B511F4" w:rsidRPr="002F3885">
              <w:rPr>
                <w:lang w:val="en-US"/>
              </w:rPr>
              <w:t xml:space="preserve"> after taxation</w:t>
            </w:r>
            <w:r w:rsidR="00B511F4" w:rsidRPr="002F3885">
              <w:rPr>
                <w:lang w:val="en-US"/>
              </w:rPr>
              <w:tab/>
            </w:r>
          </w:p>
        </w:tc>
        <w:tc>
          <w:tcPr>
            <w:tcW w:w="723" w:type="pct"/>
            <w:tcBorders>
              <w:top w:val="nil"/>
              <w:left w:val="nil"/>
              <w:bottom w:val="nil"/>
              <w:right w:val="nil"/>
            </w:tcBorders>
            <w:vAlign w:val="bottom"/>
          </w:tcPr>
          <w:p w14:paraId="014F3B8A"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57ABC046" w14:textId="77777777" w:rsidR="00B511F4" w:rsidRPr="002F3885" w:rsidRDefault="00B511F4" w:rsidP="00B511F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72FC1E89" w14:textId="77777777" w:rsidR="00B511F4" w:rsidRPr="002F3885" w:rsidRDefault="00B511F4" w:rsidP="00B511F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(908)</w:t>
            </w:r>
          </w:p>
        </w:tc>
      </w:tr>
    </w:tbl>
    <w:p w14:paraId="3AD1AEA8" w14:textId="77777777" w:rsidR="00EE413E" w:rsidRDefault="00EE413E" w:rsidP="002B3A13">
      <w:pPr>
        <w:widowControl/>
        <w:autoSpaceDE/>
        <w:autoSpaceDN/>
        <w:adjustRightInd/>
        <w:rPr>
          <w:lang w:val="en-US"/>
        </w:rPr>
      </w:pPr>
    </w:p>
    <w:p w14:paraId="192644E4" w14:textId="77777777" w:rsidR="00E33FD0" w:rsidRPr="002F3885" w:rsidRDefault="00E33FD0" w:rsidP="002B3A13">
      <w:pPr>
        <w:widowControl/>
        <w:autoSpaceDE/>
        <w:autoSpaceDN/>
        <w:adjustRightInd/>
        <w:rPr>
          <w:lang w:val="en-US"/>
        </w:rPr>
      </w:pPr>
    </w:p>
    <w:tbl>
      <w:tblPr>
        <w:tblpPr w:leftFromText="180" w:rightFromText="180" w:vertAnchor="text" w:horzAnchor="margin" w:tblpY="77"/>
        <w:tblW w:w="5000" w:type="pct"/>
        <w:tblCellMar>
          <w:left w:w="72" w:type="dxa"/>
          <w:right w:w="72" w:type="dxa"/>
        </w:tblCellMar>
        <w:tblLook w:val="0000" w:firstRow="0" w:lastRow="0" w:firstColumn="0" w:lastColumn="0" w:noHBand="0" w:noVBand="0"/>
      </w:tblPr>
      <w:tblGrid>
        <w:gridCol w:w="5460"/>
        <w:gridCol w:w="1394"/>
        <w:gridCol w:w="1394"/>
        <w:gridCol w:w="1394"/>
      </w:tblGrid>
      <w:tr w:rsidR="00AF5078" w:rsidRPr="002F3885" w14:paraId="7BC60A71" w14:textId="77777777">
        <w:trPr>
          <w:cantSplit/>
        </w:trPr>
        <w:tc>
          <w:tcPr>
            <w:tcW w:w="2831" w:type="pct"/>
            <w:tcBorders>
              <w:top w:val="nil"/>
              <w:left w:val="nil"/>
              <w:bottom w:val="nil"/>
              <w:right w:val="nil"/>
            </w:tcBorders>
            <w:vAlign w:val="bottom"/>
          </w:tcPr>
          <w:p w14:paraId="6C2D9AD8" w14:textId="77777777" w:rsidR="00AF5078" w:rsidRPr="002F3885" w:rsidRDefault="00AF5078" w:rsidP="00B511F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lang w:val="en-US"/>
              </w:rPr>
            </w:pPr>
            <w:r>
              <w:rPr>
                <w:b/>
                <w:bCs/>
                <w:sz w:val="16"/>
                <w:szCs w:val="18"/>
                <w:lang w:val="en-US"/>
              </w:rPr>
              <w:t xml:space="preserve">Year </w:t>
            </w:r>
            <w:r w:rsidRPr="002F3885">
              <w:rPr>
                <w:b/>
                <w:bCs/>
                <w:sz w:val="16"/>
                <w:szCs w:val="18"/>
                <w:lang w:val="en-US"/>
              </w:rPr>
              <w:t xml:space="preserve"> ended 31 </w:t>
            </w:r>
            <w:r>
              <w:rPr>
                <w:b/>
                <w:bCs/>
                <w:sz w:val="16"/>
                <w:szCs w:val="18"/>
                <w:lang w:val="en-US"/>
              </w:rPr>
              <w:t xml:space="preserve">December </w:t>
            </w:r>
            <w:r w:rsidRPr="002F3885">
              <w:rPr>
                <w:b/>
                <w:bCs/>
                <w:sz w:val="16"/>
                <w:szCs w:val="18"/>
                <w:lang w:val="en-US"/>
              </w:rPr>
              <w:t xml:space="preserve"> 201</w:t>
            </w:r>
            <w:r w:rsidR="00B511F4">
              <w:rPr>
                <w:b/>
                <w:bCs/>
                <w:sz w:val="16"/>
                <w:szCs w:val="18"/>
                <w:lang w:val="en-US"/>
              </w:rPr>
              <w:t>4</w:t>
            </w:r>
            <w:r w:rsidR="00EA5815">
              <w:rPr>
                <w:b/>
                <w:bCs/>
                <w:sz w:val="16"/>
                <w:szCs w:val="18"/>
                <w:lang w:val="en-US"/>
              </w:rPr>
              <w:t xml:space="preserve"> (Audited)</w:t>
            </w:r>
          </w:p>
        </w:tc>
        <w:tc>
          <w:tcPr>
            <w:tcW w:w="723" w:type="pct"/>
            <w:tcBorders>
              <w:top w:val="nil"/>
              <w:left w:val="nil"/>
              <w:bottom w:val="nil"/>
              <w:right w:val="nil"/>
            </w:tcBorders>
            <w:vAlign w:val="bottom"/>
          </w:tcPr>
          <w:p w14:paraId="2C9A3D44" w14:textId="77777777" w:rsidR="00AF5078" w:rsidRPr="002F3885" w:rsidRDefault="00AF5078"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B2C</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342D29A7" w14:textId="77777777" w:rsidR="00AF5078" w:rsidRPr="002F3885" w:rsidRDefault="00AF5078"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B2B</w:t>
            </w:r>
            <w:r w:rsidRPr="002F3885">
              <w:rPr>
                <w:b/>
                <w:bCs/>
                <w:sz w:val="16"/>
                <w:szCs w:val="18"/>
                <w:lang w:val="en-US"/>
              </w:rPr>
              <w:br/>
            </w:r>
            <w:r>
              <w:rPr>
                <w:b/>
                <w:bCs/>
                <w:sz w:val="16"/>
                <w:szCs w:val="18"/>
                <w:lang w:val="en-US"/>
              </w:rPr>
              <w:t>£’</w:t>
            </w:r>
            <w:r w:rsidRPr="002F3885">
              <w:rPr>
                <w:b/>
                <w:bCs/>
                <w:sz w:val="16"/>
                <w:szCs w:val="18"/>
                <w:lang w:val="en-US"/>
              </w:rPr>
              <w:t>000</w:t>
            </w:r>
          </w:p>
        </w:tc>
        <w:tc>
          <w:tcPr>
            <w:tcW w:w="723" w:type="pct"/>
            <w:tcBorders>
              <w:top w:val="nil"/>
              <w:left w:val="nil"/>
              <w:bottom w:val="nil"/>
              <w:right w:val="nil"/>
            </w:tcBorders>
            <w:vAlign w:val="bottom"/>
          </w:tcPr>
          <w:p w14:paraId="43A3BE3D" w14:textId="77777777" w:rsidR="00AF5078" w:rsidRPr="002F3885" w:rsidRDefault="00AF5078"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2F3885">
              <w:rPr>
                <w:b/>
                <w:bCs/>
                <w:sz w:val="16"/>
                <w:szCs w:val="18"/>
                <w:lang w:val="en-US"/>
              </w:rPr>
              <w:t>Total</w:t>
            </w:r>
            <w:r w:rsidRPr="002F3885">
              <w:rPr>
                <w:b/>
                <w:bCs/>
                <w:sz w:val="16"/>
                <w:szCs w:val="18"/>
                <w:lang w:val="en-US"/>
              </w:rPr>
              <w:br/>
            </w:r>
            <w:r>
              <w:rPr>
                <w:b/>
                <w:bCs/>
                <w:sz w:val="16"/>
                <w:szCs w:val="18"/>
                <w:lang w:val="en-US"/>
              </w:rPr>
              <w:t>£’</w:t>
            </w:r>
            <w:r w:rsidRPr="002F3885">
              <w:rPr>
                <w:b/>
                <w:bCs/>
                <w:sz w:val="16"/>
                <w:szCs w:val="18"/>
                <w:lang w:val="en-US"/>
              </w:rPr>
              <w:t>000</w:t>
            </w:r>
          </w:p>
        </w:tc>
      </w:tr>
      <w:tr w:rsidR="00AF5078" w:rsidRPr="002F3885" w14:paraId="573E8CD9" w14:textId="77777777">
        <w:trPr>
          <w:cantSplit/>
        </w:trPr>
        <w:tc>
          <w:tcPr>
            <w:tcW w:w="2831" w:type="pct"/>
            <w:tcBorders>
              <w:top w:val="nil"/>
              <w:left w:val="nil"/>
              <w:bottom w:val="nil"/>
              <w:right w:val="nil"/>
            </w:tcBorders>
          </w:tcPr>
          <w:p w14:paraId="778B7A8C" w14:textId="77777777" w:rsidR="00AF5078" w:rsidRPr="002F3885" w:rsidRDefault="00AF5078" w:rsidP="00AF5078">
            <w:pPr>
              <w:widowControl/>
              <w:tabs>
                <w:tab w:val="right" w:leader="dot" w:pos="5460"/>
              </w:tabs>
              <w:suppressAutoHyphens/>
              <w:ind w:left="200" w:hanging="200"/>
              <w:rPr>
                <w:lang w:val="en-US"/>
              </w:rPr>
            </w:pPr>
            <w:r w:rsidRPr="002F3885">
              <w:rPr>
                <w:lang w:val="en-US"/>
              </w:rPr>
              <w:t>Net revenue</w:t>
            </w:r>
            <w:r w:rsidRPr="002F3885">
              <w:rPr>
                <w:lang w:val="en-US"/>
              </w:rPr>
              <w:tab/>
            </w:r>
          </w:p>
        </w:tc>
        <w:tc>
          <w:tcPr>
            <w:tcW w:w="723" w:type="pct"/>
            <w:tcBorders>
              <w:top w:val="nil"/>
              <w:left w:val="nil"/>
              <w:bottom w:val="nil"/>
              <w:right w:val="nil"/>
            </w:tcBorders>
            <w:vAlign w:val="bottom"/>
          </w:tcPr>
          <w:p w14:paraId="3CE94379" w14:textId="77777777" w:rsidR="00AF5078" w:rsidRPr="002F3885" w:rsidRDefault="00374BA5"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678</w:t>
            </w:r>
          </w:p>
        </w:tc>
        <w:tc>
          <w:tcPr>
            <w:tcW w:w="723" w:type="pct"/>
            <w:tcBorders>
              <w:top w:val="nil"/>
              <w:left w:val="nil"/>
              <w:bottom w:val="nil"/>
              <w:right w:val="nil"/>
            </w:tcBorders>
            <w:vAlign w:val="bottom"/>
          </w:tcPr>
          <w:p w14:paraId="5BCE411D" w14:textId="77777777" w:rsidR="00AF5078" w:rsidRPr="002F3885" w:rsidRDefault="00374BA5"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6,850</w:t>
            </w:r>
          </w:p>
        </w:tc>
        <w:tc>
          <w:tcPr>
            <w:tcW w:w="723" w:type="pct"/>
            <w:tcBorders>
              <w:top w:val="nil"/>
              <w:left w:val="nil"/>
              <w:bottom w:val="nil"/>
              <w:right w:val="nil"/>
            </w:tcBorders>
            <w:vAlign w:val="bottom"/>
          </w:tcPr>
          <w:p w14:paraId="12A4CC4E" w14:textId="77777777" w:rsidR="00AF5078" w:rsidRPr="002F3885" w:rsidRDefault="00374BA5" w:rsidP="00FA2F8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7,528</w:t>
            </w:r>
          </w:p>
        </w:tc>
      </w:tr>
      <w:tr w:rsidR="00AF5078" w:rsidRPr="002F3885" w14:paraId="6CF68249" w14:textId="77777777">
        <w:trPr>
          <w:cantSplit/>
        </w:trPr>
        <w:tc>
          <w:tcPr>
            <w:tcW w:w="2831" w:type="pct"/>
            <w:tcBorders>
              <w:top w:val="nil"/>
              <w:left w:val="nil"/>
              <w:bottom w:val="nil"/>
              <w:right w:val="nil"/>
            </w:tcBorders>
          </w:tcPr>
          <w:p w14:paraId="15AE49BC" w14:textId="77777777" w:rsidR="00AF5078" w:rsidRPr="002F3885" w:rsidRDefault="00AF5078" w:rsidP="00AF5078">
            <w:pPr>
              <w:widowControl/>
              <w:tabs>
                <w:tab w:val="right" w:leader="dot" w:pos="5460"/>
              </w:tabs>
              <w:suppressAutoHyphens/>
              <w:spacing w:after="20"/>
              <w:ind w:left="200" w:hanging="200"/>
              <w:rPr>
                <w:lang w:val="en-US"/>
              </w:rPr>
            </w:pPr>
            <w:r w:rsidRPr="002F3885">
              <w:rPr>
                <w:lang w:val="en-US"/>
              </w:rPr>
              <w:t>Distribution costs (excluding depreciation and amortisation)</w:t>
            </w:r>
            <w:r w:rsidRPr="002F3885">
              <w:rPr>
                <w:lang w:val="en-US"/>
              </w:rPr>
              <w:tab/>
            </w:r>
          </w:p>
        </w:tc>
        <w:tc>
          <w:tcPr>
            <w:tcW w:w="723" w:type="pct"/>
            <w:tcBorders>
              <w:top w:val="nil"/>
              <w:left w:val="nil"/>
              <w:bottom w:val="nil"/>
              <w:right w:val="nil"/>
            </w:tcBorders>
            <w:vAlign w:val="bottom"/>
          </w:tcPr>
          <w:p w14:paraId="5A4F7029" w14:textId="77777777" w:rsidR="00AF5078" w:rsidRPr="002F3885" w:rsidRDefault="00374BA5" w:rsidP="00AF50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(1,051)</w:t>
            </w:r>
          </w:p>
        </w:tc>
        <w:tc>
          <w:tcPr>
            <w:tcW w:w="723" w:type="pct"/>
            <w:tcBorders>
              <w:top w:val="nil"/>
              <w:left w:val="nil"/>
              <w:bottom w:val="nil"/>
              <w:right w:val="nil"/>
            </w:tcBorders>
            <w:vAlign w:val="bottom"/>
          </w:tcPr>
          <w:p w14:paraId="348EBDF2" w14:textId="77777777" w:rsidR="00AF5078" w:rsidRPr="002F3885" w:rsidRDefault="00374BA5" w:rsidP="00C6235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(1,540)</w:t>
            </w:r>
          </w:p>
        </w:tc>
        <w:tc>
          <w:tcPr>
            <w:tcW w:w="723" w:type="pct"/>
            <w:tcBorders>
              <w:top w:val="nil"/>
              <w:left w:val="nil"/>
              <w:bottom w:val="nil"/>
              <w:right w:val="nil"/>
            </w:tcBorders>
            <w:vAlign w:val="bottom"/>
          </w:tcPr>
          <w:p w14:paraId="6319B9B7" w14:textId="77777777" w:rsidR="00AF5078" w:rsidRPr="002F3885" w:rsidRDefault="00374BA5" w:rsidP="00AF50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(2,591)</w:t>
            </w:r>
          </w:p>
        </w:tc>
      </w:tr>
      <w:tr w:rsidR="00AF5078" w:rsidRPr="002F3885" w14:paraId="344AF66C" w14:textId="77777777">
        <w:trPr>
          <w:cantSplit/>
        </w:trPr>
        <w:tc>
          <w:tcPr>
            <w:tcW w:w="2831" w:type="pct"/>
            <w:tcBorders>
              <w:top w:val="nil"/>
              <w:left w:val="nil"/>
              <w:bottom w:val="nil"/>
              <w:right w:val="nil"/>
            </w:tcBorders>
          </w:tcPr>
          <w:p w14:paraId="47F11E6F" w14:textId="77777777" w:rsidR="00AF5078" w:rsidRPr="002F3885" w:rsidRDefault="00AF5078" w:rsidP="00AF5078">
            <w:pPr>
              <w:widowControl/>
              <w:tabs>
                <w:tab w:val="right" w:leader="dot" w:pos="5460"/>
              </w:tabs>
              <w:suppressAutoHyphens/>
              <w:spacing w:after="40"/>
              <w:ind w:left="200" w:hanging="200"/>
              <w:rPr>
                <w:lang w:val="en-US"/>
              </w:rPr>
            </w:pPr>
            <w:r w:rsidRPr="002F3885">
              <w:rPr>
                <w:lang w:val="en-US"/>
              </w:rPr>
              <w:t>Segment result</w:t>
            </w:r>
            <w:r w:rsidRPr="002F3885">
              <w:rPr>
                <w:lang w:val="en-US"/>
              </w:rPr>
              <w:tab/>
            </w:r>
          </w:p>
        </w:tc>
        <w:tc>
          <w:tcPr>
            <w:tcW w:w="723" w:type="pct"/>
            <w:tcBorders>
              <w:top w:val="nil"/>
              <w:left w:val="nil"/>
              <w:bottom w:val="nil"/>
              <w:right w:val="nil"/>
            </w:tcBorders>
            <w:vAlign w:val="bottom"/>
          </w:tcPr>
          <w:p w14:paraId="0829622B" w14:textId="77777777" w:rsidR="00AF5078" w:rsidRPr="002F3885" w:rsidRDefault="00374BA5" w:rsidP="00AF50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(373)</w:t>
            </w:r>
          </w:p>
        </w:tc>
        <w:tc>
          <w:tcPr>
            <w:tcW w:w="723" w:type="pct"/>
            <w:tcBorders>
              <w:top w:val="nil"/>
              <w:left w:val="nil"/>
              <w:bottom w:val="nil"/>
              <w:right w:val="nil"/>
            </w:tcBorders>
            <w:vAlign w:val="bottom"/>
          </w:tcPr>
          <w:p w14:paraId="36A7B6EE" w14:textId="77777777" w:rsidR="00AF5078" w:rsidRPr="002F3885" w:rsidRDefault="00374BA5" w:rsidP="00AF507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5,310</w:t>
            </w:r>
          </w:p>
        </w:tc>
        <w:tc>
          <w:tcPr>
            <w:tcW w:w="723" w:type="pct"/>
            <w:tcBorders>
              <w:top w:val="nil"/>
              <w:left w:val="nil"/>
              <w:bottom w:val="nil"/>
              <w:right w:val="nil"/>
            </w:tcBorders>
            <w:vAlign w:val="bottom"/>
          </w:tcPr>
          <w:p w14:paraId="5B21A1D9" w14:textId="77777777" w:rsidR="00AF5078" w:rsidRPr="002F3885" w:rsidRDefault="00374BA5"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4,937</w:t>
            </w:r>
          </w:p>
        </w:tc>
      </w:tr>
      <w:tr w:rsidR="00AF5078" w:rsidRPr="002F3885" w14:paraId="317EF0D7" w14:textId="77777777">
        <w:trPr>
          <w:cantSplit/>
        </w:trPr>
        <w:tc>
          <w:tcPr>
            <w:tcW w:w="2831" w:type="pct"/>
            <w:tcBorders>
              <w:top w:val="nil"/>
              <w:left w:val="nil"/>
              <w:bottom w:val="nil"/>
              <w:right w:val="nil"/>
            </w:tcBorders>
          </w:tcPr>
          <w:p w14:paraId="3ADC58FD" w14:textId="77777777" w:rsidR="00AF5078" w:rsidRPr="002F3885" w:rsidRDefault="00AF5078" w:rsidP="00AF5078">
            <w:pPr>
              <w:widowControl/>
              <w:tabs>
                <w:tab w:val="right" w:leader="dot" w:pos="5460"/>
              </w:tabs>
              <w:suppressAutoHyphens/>
              <w:ind w:left="200" w:hanging="200"/>
              <w:rPr>
                <w:lang w:val="en-US"/>
              </w:rPr>
            </w:pPr>
            <w:r w:rsidRPr="002F3885">
              <w:rPr>
                <w:lang w:val="en-US"/>
              </w:rPr>
              <w:t>Administration expenses</w:t>
            </w:r>
            <w:r w:rsidRPr="002F3885">
              <w:rPr>
                <w:lang w:val="en-US"/>
              </w:rPr>
              <w:tab/>
            </w:r>
          </w:p>
        </w:tc>
        <w:tc>
          <w:tcPr>
            <w:tcW w:w="723" w:type="pct"/>
            <w:tcBorders>
              <w:top w:val="nil"/>
              <w:left w:val="nil"/>
              <w:bottom w:val="nil"/>
              <w:right w:val="nil"/>
            </w:tcBorders>
            <w:vAlign w:val="bottom"/>
          </w:tcPr>
          <w:p w14:paraId="324EADE3"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0F71BE5A"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19A030DB" w14:textId="77777777" w:rsidR="00AF5078" w:rsidRPr="002F3885" w:rsidRDefault="00374BA5" w:rsidP="00C6235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(6,469)</w:t>
            </w:r>
          </w:p>
        </w:tc>
      </w:tr>
      <w:tr w:rsidR="00AF5078" w:rsidRPr="002F3885" w14:paraId="58DD3177" w14:textId="77777777">
        <w:trPr>
          <w:cantSplit/>
        </w:trPr>
        <w:tc>
          <w:tcPr>
            <w:tcW w:w="2831" w:type="pct"/>
            <w:tcBorders>
              <w:top w:val="nil"/>
              <w:left w:val="nil"/>
              <w:bottom w:val="nil"/>
              <w:right w:val="nil"/>
            </w:tcBorders>
          </w:tcPr>
          <w:p w14:paraId="6DEA332E" w14:textId="77777777" w:rsidR="00AF5078" w:rsidRPr="002F3885" w:rsidRDefault="00AF5078" w:rsidP="00AF5078">
            <w:pPr>
              <w:widowControl/>
              <w:tabs>
                <w:tab w:val="right" w:leader="dot" w:pos="5460"/>
              </w:tabs>
              <w:suppressAutoHyphens/>
              <w:ind w:left="200" w:hanging="200"/>
              <w:rPr>
                <w:lang w:val="en-US"/>
              </w:rPr>
            </w:pPr>
            <w:r w:rsidRPr="002F3885">
              <w:rPr>
                <w:lang w:val="en-US"/>
              </w:rPr>
              <w:t>Depreciation</w:t>
            </w:r>
            <w:r w:rsidRPr="002F3885">
              <w:rPr>
                <w:lang w:val="en-US"/>
              </w:rPr>
              <w:tab/>
            </w:r>
          </w:p>
        </w:tc>
        <w:tc>
          <w:tcPr>
            <w:tcW w:w="723" w:type="pct"/>
            <w:tcBorders>
              <w:top w:val="nil"/>
              <w:left w:val="nil"/>
              <w:bottom w:val="nil"/>
              <w:right w:val="nil"/>
            </w:tcBorders>
            <w:vAlign w:val="bottom"/>
          </w:tcPr>
          <w:p w14:paraId="4CBA6C10"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26D0817F"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2804BD41" w14:textId="77777777" w:rsidR="00AF5078" w:rsidRPr="002F3885" w:rsidRDefault="00374BA5"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(360)</w:t>
            </w:r>
          </w:p>
        </w:tc>
      </w:tr>
      <w:tr w:rsidR="00AF5078" w:rsidRPr="002F3885" w14:paraId="50798B1B" w14:textId="77777777">
        <w:trPr>
          <w:cantSplit/>
        </w:trPr>
        <w:tc>
          <w:tcPr>
            <w:tcW w:w="2831" w:type="pct"/>
            <w:tcBorders>
              <w:top w:val="nil"/>
              <w:left w:val="nil"/>
              <w:bottom w:val="nil"/>
              <w:right w:val="nil"/>
            </w:tcBorders>
          </w:tcPr>
          <w:p w14:paraId="38BF8DAE" w14:textId="77777777" w:rsidR="00AF5078" w:rsidRPr="002F3885" w:rsidRDefault="00AF5078" w:rsidP="00AF5078">
            <w:pPr>
              <w:widowControl/>
              <w:tabs>
                <w:tab w:val="right" w:leader="dot" w:pos="5460"/>
              </w:tabs>
              <w:suppressAutoHyphens/>
              <w:ind w:left="200" w:hanging="200"/>
              <w:rPr>
                <w:lang w:val="en-US"/>
              </w:rPr>
            </w:pPr>
            <w:r w:rsidRPr="002F3885">
              <w:rPr>
                <w:lang w:val="en-US"/>
              </w:rPr>
              <w:t>Amortisation of intangible assets</w:t>
            </w:r>
            <w:r w:rsidRPr="002F3885">
              <w:rPr>
                <w:lang w:val="en-US"/>
              </w:rPr>
              <w:tab/>
            </w:r>
          </w:p>
        </w:tc>
        <w:tc>
          <w:tcPr>
            <w:tcW w:w="723" w:type="pct"/>
            <w:tcBorders>
              <w:top w:val="nil"/>
              <w:left w:val="nil"/>
              <w:bottom w:val="nil"/>
              <w:right w:val="nil"/>
            </w:tcBorders>
            <w:vAlign w:val="bottom"/>
          </w:tcPr>
          <w:p w14:paraId="27AB11D2"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68D7754F"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2CBC579A" w14:textId="77777777" w:rsidR="00AF5078" w:rsidRPr="002F3885" w:rsidRDefault="00374BA5" w:rsidP="00DE39F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(777)</w:t>
            </w:r>
          </w:p>
        </w:tc>
      </w:tr>
      <w:tr w:rsidR="00AF5078" w:rsidRPr="002F3885" w14:paraId="64534D56" w14:textId="77777777">
        <w:trPr>
          <w:cantSplit/>
        </w:trPr>
        <w:tc>
          <w:tcPr>
            <w:tcW w:w="2831" w:type="pct"/>
            <w:tcBorders>
              <w:top w:val="nil"/>
              <w:left w:val="nil"/>
              <w:bottom w:val="nil"/>
              <w:right w:val="nil"/>
            </w:tcBorders>
          </w:tcPr>
          <w:p w14:paraId="61DA74AE" w14:textId="77777777" w:rsidR="00AF5078" w:rsidRPr="002F3885" w:rsidRDefault="00AF5078" w:rsidP="00AF5078">
            <w:pPr>
              <w:widowControl/>
              <w:tabs>
                <w:tab w:val="right" w:leader="dot" w:pos="5460"/>
              </w:tabs>
              <w:suppressAutoHyphens/>
              <w:spacing w:after="20"/>
              <w:ind w:left="200" w:hanging="200"/>
              <w:rPr>
                <w:lang w:val="en-US"/>
              </w:rPr>
            </w:pPr>
            <w:r w:rsidRPr="002F3885">
              <w:rPr>
                <w:lang w:val="en-US"/>
              </w:rPr>
              <w:t>Finance income</w:t>
            </w:r>
            <w:r w:rsidRPr="002F3885">
              <w:rPr>
                <w:lang w:val="en-US"/>
              </w:rPr>
              <w:tab/>
            </w:r>
          </w:p>
        </w:tc>
        <w:tc>
          <w:tcPr>
            <w:tcW w:w="723" w:type="pct"/>
            <w:tcBorders>
              <w:top w:val="nil"/>
              <w:left w:val="nil"/>
              <w:bottom w:val="nil"/>
              <w:right w:val="nil"/>
            </w:tcBorders>
            <w:vAlign w:val="bottom"/>
          </w:tcPr>
          <w:p w14:paraId="14BB2A4E"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6B52A5CF"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5CAFEE3C" w14:textId="77777777" w:rsidR="00AF5078" w:rsidRPr="002F3885" w:rsidRDefault="00374BA5" w:rsidP="00AF50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67</w:t>
            </w:r>
          </w:p>
        </w:tc>
      </w:tr>
      <w:tr w:rsidR="00AF5078" w:rsidRPr="002F3885" w14:paraId="5FF8C71E" w14:textId="77777777">
        <w:trPr>
          <w:cantSplit/>
        </w:trPr>
        <w:tc>
          <w:tcPr>
            <w:tcW w:w="2831" w:type="pct"/>
            <w:tcBorders>
              <w:top w:val="nil"/>
              <w:left w:val="nil"/>
              <w:bottom w:val="nil"/>
              <w:right w:val="nil"/>
            </w:tcBorders>
          </w:tcPr>
          <w:p w14:paraId="6ACAB867" w14:textId="77777777" w:rsidR="00AF5078" w:rsidRPr="002F3885" w:rsidRDefault="00AF5078" w:rsidP="00AF5078">
            <w:pPr>
              <w:widowControl/>
              <w:tabs>
                <w:tab w:val="right" w:leader="dot" w:pos="5460"/>
              </w:tabs>
              <w:suppressAutoHyphens/>
              <w:ind w:left="200" w:hanging="200"/>
              <w:rPr>
                <w:lang w:val="en-US"/>
              </w:rPr>
            </w:pPr>
            <w:r w:rsidRPr="002F3885">
              <w:rPr>
                <w:lang w:val="en-US"/>
              </w:rPr>
              <w:t>Loss before taxation</w:t>
            </w:r>
            <w:r w:rsidRPr="002F3885">
              <w:rPr>
                <w:lang w:val="en-US"/>
              </w:rPr>
              <w:tab/>
            </w:r>
          </w:p>
        </w:tc>
        <w:tc>
          <w:tcPr>
            <w:tcW w:w="723" w:type="pct"/>
            <w:tcBorders>
              <w:top w:val="nil"/>
              <w:left w:val="nil"/>
              <w:bottom w:val="nil"/>
              <w:right w:val="nil"/>
            </w:tcBorders>
            <w:vAlign w:val="bottom"/>
          </w:tcPr>
          <w:p w14:paraId="7E11314A"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749CD70B"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23" w:type="pct"/>
            <w:tcBorders>
              <w:top w:val="nil"/>
              <w:left w:val="nil"/>
              <w:bottom w:val="nil"/>
              <w:right w:val="nil"/>
            </w:tcBorders>
            <w:vAlign w:val="bottom"/>
          </w:tcPr>
          <w:p w14:paraId="3FF2C83E" w14:textId="77777777" w:rsidR="00AF5078" w:rsidRPr="002F3885" w:rsidRDefault="00374BA5" w:rsidP="00C6235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(2,602)</w:t>
            </w:r>
          </w:p>
        </w:tc>
      </w:tr>
      <w:tr w:rsidR="00AF5078" w:rsidRPr="002F3885" w14:paraId="25053EA8" w14:textId="77777777">
        <w:trPr>
          <w:cantSplit/>
        </w:trPr>
        <w:tc>
          <w:tcPr>
            <w:tcW w:w="2831" w:type="pct"/>
            <w:tcBorders>
              <w:top w:val="nil"/>
              <w:left w:val="nil"/>
              <w:bottom w:val="nil"/>
              <w:right w:val="nil"/>
            </w:tcBorders>
          </w:tcPr>
          <w:p w14:paraId="65FBA682" w14:textId="77777777" w:rsidR="00AF5078" w:rsidRPr="002F3885" w:rsidRDefault="00AF5078" w:rsidP="00AF5078">
            <w:pPr>
              <w:widowControl/>
              <w:tabs>
                <w:tab w:val="right" w:leader="dot" w:pos="5460"/>
              </w:tabs>
              <w:suppressAutoHyphens/>
              <w:spacing w:after="20"/>
              <w:ind w:left="200" w:hanging="200"/>
              <w:rPr>
                <w:lang w:val="en-US"/>
              </w:rPr>
            </w:pPr>
            <w:r w:rsidRPr="002F3885">
              <w:rPr>
                <w:lang w:val="en-US"/>
              </w:rPr>
              <w:t>Taxation</w:t>
            </w:r>
            <w:r w:rsidRPr="002F3885">
              <w:rPr>
                <w:lang w:val="en-US"/>
              </w:rPr>
              <w:tab/>
            </w:r>
          </w:p>
        </w:tc>
        <w:tc>
          <w:tcPr>
            <w:tcW w:w="723" w:type="pct"/>
            <w:tcBorders>
              <w:top w:val="nil"/>
              <w:left w:val="nil"/>
              <w:bottom w:val="nil"/>
              <w:right w:val="nil"/>
            </w:tcBorders>
            <w:vAlign w:val="bottom"/>
          </w:tcPr>
          <w:p w14:paraId="022FB68D"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7B7AF338"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723" w:type="pct"/>
            <w:tcBorders>
              <w:top w:val="nil"/>
              <w:left w:val="nil"/>
              <w:bottom w:val="nil"/>
              <w:right w:val="nil"/>
            </w:tcBorders>
            <w:vAlign w:val="bottom"/>
          </w:tcPr>
          <w:p w14:paraId="36D1ADCC" w14:textId="77777777" w:rsidR="00AF5078" w:rsidRPr="002F3885" w:rsidRDefault="00374BA5" w:rsidP="00AF507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sidRPr="00B41B5A">
              <w:rPr>
                <w:lang w:val="en-US"/>
              </w:rPr>
              <w:t>—</w:t>
            </w:r>
          </w:p>
        </w:tc>
      </w:tr>
      <w:tr w:rsidR="00AF5078" w:rsidRPr="002F3885" w14:paraId="507B49D4" w14:textId="77777777">
        <w:trPr>
          <w:cantSplit/>
        </w:trPr>
        <w:tc>
          <w:tcPr>
            <w:tcW w:w="2831" w:type="pct"/>
            <w:tcBorders>
              <w:top w:val="nil"/>
              <w:left w:val="nil"/>
              <w:bottom w:val="nil"/>
              <w:right w:val="nil"/>
            </w:tcBorders>
          </w:tcPr>
          <w:p w14:paraId="55417AD0" w14:textId="77777777" w:rsidR="00AF5078" w:rsidRPr="002F3885" w:rsidRDefault="000F44B8" w:rsidP="00AF5078">
            <w:pPr>
              <w:widowControl/>
              <w:tabs>
                <w:tab w:val="right" w:leader="dot" w:pos="5460"/>
              </w:tabs>
              <w:suppressAutoHyphens/>
              <w:spacing w:after="40"/>
              <w:ind w:left="200" w:hanging="200"/>
              <w:rPr>
                <w:lang w:val="en-US"/>
              </w:rPr>
            </w:pPr>
            <w:r>
              <w:rPr>
                <w:lang w:val="en-US"/>
              </w:rPr>
              <w:t>Loss</w:t>
            </w:r>
            <w:r w:rsidR="00AF5078" w:rsidRPr="002F3885">
              <w:rPr>
                <w:lang w:val="en-US"/>
              </w:rPr>
              <w:t xml:space="preserve"> for the year after taxation</w:t>
            </w:r>
            <w:r w:rsidR="00AF5078" w:rsidRPr="002F3885">
              <w:rPr>
                <w:lang w:val="en-US"/>
              </w:rPr>
              <w:tab/>
            </w:r>
          </w:p>
        </w:tc>
        <w:tc>
          <w:tcPr>
            <w:tcW w:w="723" w:type="pct"/>
            <w:tcBorders>
              <w:top w:val="nil"/>
              <w:left w:val="nil"/>
              <w:bottom w:val="nil"/>
              <w:right w:val="nil"/>
            </w:tcBorders>
            <w:vAlign w:val="bottom"/>
          </w:tcPr>
          <w:p w14:paraId="4C1157DA"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50641B50" w14:textId="77777777" w:rsidR="00AF5078" w:rsidRPr="002F3885" w:rsidRDefault="00AF5078" w:rsidP="00AF507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p>
        </w:tc>
        <w:tc>
          <w:tcPr>
            <w:tcW w:w="723" w:type="pct"/>
            <w:tcBorders>
              <w:top w:val="nil"/>
              <w:left w:val="nil"/>
              <w:bottom w:val="nil"/>
              <w:right w:val="nil"/>
            </w:tcBorders>
            <w:vAlign w:val="bottom"/>
          </w:tcPr>
          <w:p w14:paraId="2B78B317" w14:textId="77777777" w:rsidR="00AF5078" w:rsidRPr="002F3885" w:rsidRDefault="00374BA5" w:rsidP="00C6235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(2,602)</w:t>
            </w:r>
          </w:p>
        </w:tc>
      </w:tr>
    </w:tbl>
    <w:p w14:paraId="24CC2701"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both"/>
        <w:rPr>
          <w:lang w:val="en-US"/>
        </w:rPr>
      </w:pPr>
    </w:p>
    <w:p w14:paraId="470114CC" w14:textId="77777777" w:rsidR="009D1134" w:rsidRPr="002F3885" w:rsidRDefault="009D1134" w:rsidP="002A5168">
      <w:pPr>
        <w:widowControl/>
        <w:tabs>
          <w:tab w:val="left" w:pos="-720"/>
        </w:tabs>
        <w:suppressAutoHyphens/>
        <w:spacing w:before="240" w:after="240"/>
        <w:jc w:val="both"/>
        <w:rPr>
          <w:lang w:val="en-US"/>
        </w:rPr>
      </w:pPr>
      <w:r w:rsidRPr="002F3885">
        <w:rPr>
          <w:lang w:val="en-US"/>
        </w:rPr>
        <w:t>The accounting policies of the reportable segments follow the same policies as described in note </w:t>
      </w:r>
      <w:r w:rsidR="007507CA">
        <w:rPr>
          <w:lang w:val="en-US"/>
        </w:rPr>
        <w:t>1</w:t>
      </w:r>
      <w:r w:rsidRPr="002F3885">
        <w:rPr>
          <w:lang w:val="en-US"/>
        </w:rPr>
        <w:t>. Segment result represents the gross profit earned by each segment without allocation of the share of administration costs including Directors</w:t>
      </w:r>
      <w:r>
        <w:rPr>
          <w:lang w:val="en-US"/>
        </w:rPr>
        <w:t>’</w:t>
      </w:r>
      <w:r w:rsidRPr="002F3885">
        <w:rPr>
          <w:lang w:val="en-US"/>
        </w:rPr>
        <w:t xml:space="preserve"> salaries, finance costs and income tax expense. This is the measure reported to the Group</w:t>
      </w:r>
      <w:r>
        <w:rPr>
          <w:lang w:val="en-US"/>
        </w:rPr>
        <w:t>’</w:t>
      </w:r>
      <w:r w:rsidRPr="002F3885">
        <w:rPr>
          <w:lang w:val="en-US"/>
        </w:rPr>
        <w:t>s Chief Executive for the purpose of resource allocation and assessment of segment performance.</w:t>
      </w:r>
    </w:p>
    <w:p w14:paraId="0F87C23C" w14:textId="77777777" w:rsidR="009D1134" w:rsidRPr="002F3885" w:rsidRDefault="009D1134" w:rsidP="00B55CA3">
      <w:pPr>
        <w:widowControl/>
        <w:tabs>
          <w:tab w:val="left" w:pos="-720"/>
        </w:tabs>
        <w:suppressAutoHyphens/>
        <w:spacing w:after="240"/>
        <w:jc w:val="both"/>
        <w:rPr>
          <w:lang w:val="en-US"/>
        </w:rPr>
      </w:pPr>
      <w:r w:rsidRPr="002F3885">
        <w:rPr>
          <w:lang w:val="en-US"/>
        </w:rPr>
        <w:t>Administration expenses comprise principally the employment and office costs incurred by the Group.</w:t>
      </w:r>
    </w:p>
    <w:p w14:paraId="66332F64" w14:textId="77777777" w:rsidR="009D1134" w:rsidRPr="002F3885" w:rsidRDefault="009D1134" w:rsidP="009D1134">
      <w:pPr>
        <w:keepNext/>
        <w:keepLines/>
        <w:widowControl/>
        <w:tabs>
          <w:tab w:val="left" w:pos="-720"/>
          <w:tab w:val="left" w:pos="720"/>
          <w:tab w:val="left" w:pos="1440"/>
        </w:tabs>
        <w:suppressAutoHyphens/>
        <w:spacing w:after="240"/>
        <w:jc w:val="both"/>
        <w:rPr>
          <w:b/>
          <w:bCs/>
          <w:lang w:val="en-US"/>
        </w:rPr>
      </w:pPr>
      <w:r w:rsidRPr="002F3885">
        <w:rPr>
          <w:b/>
          <w:bCs/>
          <w:lang w:val="en-US"/>
        </w:rPr>
        <w:t>Segment assets and liabilities</w:t>
      </w:r>
    </w:p>
    <w:p w14:paraId="54AE06FD" w14:textId="77777777" w:rsidR="00E33FD0" w:rsidRDefault="009D1134" w:rsidP="00B55CA3">
      <w:pPr>
        <w:widowControl/>
        <w:tabs>
          <w:tab w:val="left" w:pos="-720"/>
        </w:tabs>
        <w:suppressAutoHyphens/>
        <w:spacing w:after="240"/>
        <w:jc w:val="both"/>
        <w:rPr>
          <w:lang w:val="en-US"/>
        </w:rPr>
      </w:pPr>
      <w:r w:rsidRPr="002F3885">
        <w:rPr>
          <w:lang w:val="en-US"/>
        </w:rPr>
        <w:t>Assets and liabilities are not separately analysed or reported to the Group</w:t>
      </w:r>
      <w:r>
        <w:rPr>
          <w:lang w:val="en-US"/>
        </w:rPr>
        <w:t>’</w:t>
      </w:r>
      <w:r w:rsidRPr="002F3885">
        <w:rPr>
          <w:lang w:val="en-US"/>
        </w:rPr>
        <w:t>s Chief Executive and are not used to assist in decisions surrounding resource allocation and assessment of segment performance. As such, an analysis of segment and liabilities has not been included in this financial information. All non</w:t>
      </w:r>
      <w:r w:rsidRPr="002F3885">
        <w:rPr>
          <w:lang w:val="en-US"/>
        </w:rPr>
        <w:noBreakHyphen/>
        <w:t>current assets are located in Europe</w:t>
      </w:r>
      <w:r w:rsidR="0066253C">
        <w:rPr>
          <w:lang w:val="en-US"/>
        </w:rPr>
        <w:t xml:space="preserve"> and USA</w:t>
      </w:r>
      <w:r w:rsidRPr="002F3885">
        <w:rPr>
          <w:lang w:val="en-US"/>
        </w:rPr>
        <w:t>.</w:t>
      </w:r>
    </w:p>
    <w:p w14:paraId="334EF4D3" w14:textId="77777777" w:rsidR="00E33FD0" w:rsidRDefault="00E33FD0">
      <w:pPr>
        <w:widowControl/>
        <w:autoSpaceDE/>
        <w:autoSpaceDN/>
        <w:adjustRightInd/>
        <w:rPr>
          <w:lang w:val="en-US"/>
        </w:rPr>
      </w:pPr>
      <w:r>
        <w:rPr>
          <w:lang w:val="en-US"/>
        </w:rPr>
        <w:br w:type="page"/>
      </w:r>
    </w:p>
    <w:p w14:paraId="7712FF1E" w14:textId="77777777" w:rsidR="00E33FD0" w:rsidRDefault="00E33FD0" w:rsidP="00E33FD0">
      <w:pPr>
        <w:widowControl/>
        <w:autoSpaceDE/>
        <w:autoSpaceDN/>
        <w:adjustRightInd/>
        <w:jc w:val="center"/>
        <w:rPr>
          <w:b/>
          <w:bCs/>
          <w:sz w:val="24"/>
          <w:szCs w:val="24"/>
          <w:lang w:val="en-US"/>
        </w:rPr>
      </w:pPr>
      <w:r w:rsidRPr="00221793">
        <w:rPr>
          <w:b/>
          <w:bCs/>
          <w:sz w:val="24"/>
          <w:szCs w:val="24"/>
          <w:lang w:val="en-US"/>
        </w:rPr>
        <w:lastRenderedPageBreak/>
        <w:t>GameAccount Network Plc</w:t>
      </w:r>
    </w:p>
    <w:p w14:paraId="2ED21224" w14:textId="77777777" w:rsidR="00E33FD0" w:rsidRPr="00221793" w:rsidRDefault="00E33FD0" w:rsidP="00E33FD0">
      <w:pPr>
        <w:widowControl/>
        <w:autoSpaceDE/>
        <w:autoSpaceDN/>
        <w:adjustRightInd/>
        <w:jc w:val="center"/>
        <w:rPr>
          <w:b/>
          <w:bCs/>
          <w:sz w:val="24"/>
          <w:szCs w:val="24"/>
          <w:lang w:val="en-US"/>
        </w:rPr>
      </w:pPr>
    </w:p>
    <w:p w14:paraId="4C0ECCD0" w14:textId="77777777" w:rsidR="00E33FD0" w:rsidRPr="00221793" w:rsidRDefault="00E33FD0" w:rsidP="00E33FD0">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Pr>
          <w:b/>
          <w:bCs/>
          <w:sz w:val="24"/>
          <w:szCs w:val="24"/>
          <w:lang w:val="en-US"/>
        </w:rPr>
        <w:t>period</w:t>
      </w:r>
      <w:r w:rsidRPr="00221793">
        <w:rPr>
          <w:b/>
          <w:bCs/>
          <w:sz w:val="24"/>
          <w:szCs w:val="24"/>
          <w:lang w:val="en-US"/>
        </w:rPr>
        <w:t xml:space="preserve"> ended </w:t>
      </w:r>
      <w:r>
        <w:rPr>
          <w:b/>
          <w:bCs/>
          <w:sz w:val="24"/>
          <w:szCs w:val="24"/>
          <w:lang w:val="en-US"/>
        </w:rPr>
        <w:t>30 June 2015</w:t>
      </w:r>
    </w:p>
    <w:p w14:paraId="6ED42A51" w14:textId="77777777" w:rsidR="00E33FD0" w:rsidRPr="002B3A13" w:rsidRDefault="00E33FD0" w:rsidP="00E33FD0">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Notes to the financial statements</w:t>
      </w:r>
      <w:r>
        <w:rPr>
          <w:b/>
          <w:bCs/>
          <w:sz w:val="24"/>
          <w:szCs w:val="24"/>
          <w:lang w:val="en-US"/>
        </w:rPr>
        <w:t xml:space="preserve"> </w:t>
      </w:r>
      <w:r w:rsidRPr="000E5FB8">
        <w:rPr>
          <w:b/>
          <w:bCs/>
          <w:i/>
          <w:sz w:val="24"/>
          <w:szCs w:val="24"/>
          <w:lang w:val="en-US"/>
        </w:rPr>
        <w:t>(continued)</w:t>
      </w:r>
    </w:p>
    <w:p w14:paraId="5C684EB3" w14:textId="77777777" w:rsidR="009D1134" w:rsidRPr="002F3885" w:rsidRDefault="009D1134" w:rsidP="00B55CA3">
      <w:pPr>
        <w:widowControl/>
        <w:tabs>
          <w:tab w:val="left" w:pos="-720"/>
        </w:tabs>
        <w:suppressAutoHyphens/>
        <w:spacing w:after="240"/>
        <w:jc w:val="both"/>
        <w:rPr>
          <w:lang w:val="en-US"/>
        </w:rPr>
      </w:pPr>
    </w:p>
    <w:p w14:paraId="28A00ACF" w14:textId="77777777" w:rsidR="009D1134" w:rsidRDefault="009D1134" w:rsidP="009D1134">
      <w:pPr>
        <w:keepNext/>
        <w:keepLines/>
        <w:widowControl/>
        <w:tabs>
          <w:tab w:val="left" w:pos="-720"/>
          <w:tab w:val="left" w:pos="720"/>
          <w:tab w:val="left" w:pos="1440"/>
        </w:tabs>
        <w:suppressAutoHyphens/>
        <w:spacing w:after="240"/>
        <w:jc w:val="both"/>
        <w:rPr>
          <w:b/>
          <w:bCs/>
          <w:lang w:val="en-US"/>
        </w:rPr>
      </w:pPr>
      <w:r w:rsidRPr="00EB254B">
        <w:rPr>
          <w:b/>
          <w:bCs/>
          <w:lang w:val="en-US"/>
        </w:rPr>
        <w:t xml:space="preserve">Geographical </w:t>
      </w:r>
      <w:r w:rsidR="00343618">
        <w:rPr>
          <w:b/>
          <w:bCs/>
          <w:lang w:val="en-US"/>
        </w:rPr>
        <w:t>a</w:t>
      </w:r>
      <w:r w:rsidRPr="00EB254B">
        <w:rPr>
          <w:b/>
          <w:bCs/>
          <w:lang w:val="en-US"/>
        </w:rPr>
        <w:t xml:space="preserve">nalysis of </w:t>
      </w:r>
      <w:r w:rsidR="00343618">
        <w:rPr>
          <w:b/>
          <w:bCs/>
          <w:lang w:val="en-US"/>
        </w:rPr>
        <w:t>r</w:t>
      </w:r>
      <w:r w:rsidRPr="00EB254B">
        <w:rPr>
          <w:b/>
          <w:bCs/>
          <w:lang w:val="en-US"/>
        </w:rPr>
        <w:t>evenues</w:t>
      </w:r>
    </w:p>
    <w:p w14:paraId="1ECB829D" w14:textId="77777777" w:rsidR="00277ECB" w:rsidRPr="00277ECB" w:rsidRDefault="00277ECB" w:rsidP="009D1134">
      <w:pPr>
        <w:keepNext/>
        <w:keepLines/>
        <w:widowControl/>
        <w:tabs>
          <w:tab w:val="left" w:pos="-720"/>
          <w:tab w:val="left" w:pos="720"/>
          <w:tab w:val="left" w:pos="1440"/>
        </w:tabs>
        <w:suppressAutoHyphens/>
        <w:spacing w:after="240"/>
        <w:jc w:val="both"/>
        <w:rPr>
          <w:bCs/>
          <w:lang w:val="en-US"/>
        </w:rPr>
      </w:pPr>
      <w:r>
        <w:rPr>
          <w:bCs/>
          <w:lang w:val="en-US"/>
        </w:rPr>
        <w:t>This analysis is determined based upon the location of the legal entity of the customer.</w:t>
      </w:r>
    </w:p>
    <w:tbl>
      <w:tblPr>
        <w:tblW w:w="5090" w:type="pct"/>
        <w:jc w:val="center"/>
        <w:tblCellMar>
          <w:left w:w="72" w:type="dxa"/>
          <w:right w:w="72" w:type="dxa"/>
        </w:tblCellMar>
        <w:tblLook w:val="0000" w:firstRow="0" w:lastRow="0" w:firstColumn="0" w:lastColumn="0" w:noHBand="0" w:noVBand="0"/>
      </w:tblPr>
      <w:tblGrid>
        <w:gridCol w:w="6176"/>
        <w:gridCol w:w="1280"/>
        <w:gridCol w:w="1180"/>
        <w:gridCol w:w="1180"/>
      </w:tblGrid>
      <w:tr w:rsidR="00E35A0C" w:rsidRPr="002F3885" w14:paraId="5DD46242" w14:textId="77777777">
        <w:trPr>
          <w:cantSplit/>
          <w:jc w:val="center"/>
        </w:trPr>
        <w:tc>
          <w:tcPr>
            <w:tcW w:w="3146" w:type="pct"/>
            <w:vAlign w:val="bottom"/>
          </w:tcPr>
          <w:p w14:paraId="005E8B98" w14:textId="77777777" w:rsidR="00E35A0C" w:rsidRPr="002F3885" w:rsidRDefault="00E35A0C"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652" w:type="pct"/>
            <w:vAlign w:val="bottom"/>
          </w:tcPr>
          <w:p w14:paraId="461DEF6E" w14:textId="77777777" w:rsidR="00E35A0C"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7507CA">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0577250F" w14:textId="77777777" w:rsidR="00EA5815" w:rsidRPr="00E35A0C" w:rsidRDefault="00EA5815"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01" w:type="pct"/>
          </w:tcPr>
          <w:p w14:paraId="46D566FF" w14:textId="77777777" w:rsidR="00E35A0C" w:rsidRPr="00C86960"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C86960">
              <w:rPr>
                <w:b/>
                <w:bCs/>
                <w:sz w:val="16"/>
                <w:szCs w:val="18"/>
                <w:lang w:val="en-US"/>
              </w:rPr>
              <w:t xml:space="preserve">Period </w:t>
            </w:r>
          </w:p>
          <w:p w14:paraId="03DD2779" w14:textId="77777777" w:rsidR="00E35A0C" w:rsidRPr="00C86960"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C86960">
              <w:rPr>
                <w:b/>
                <w:bCs/>
                <w:sz w:val="16"/>
                <w:szCs w:val="18"/>
                <w:lang w:val="en-US"/>
              </w:rPr>
              <w:t>ended</w:t>
            </w:r>
          </w:p>
          <w:p w14:paraId="563FF079" w14:textId="77777777" w:rsidR="00E35A0C" w:rsidRPr="00C86960"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C86960">
              <w:rPr>
                <w:b/>
                <w:bCs/>
                <w:sz w:val="16"/>
                <w:szCs w:val="18"/>
                <w:lang w:val="en-US"/>
              </w:rPr>
              <w:t>30 June</w:t>
            </w:r>
          </w:p>
          <w:p w14:paraId="6DF92F8A" w14:textId="77777777" w:rsidR="00E35A0C" w:rsidRPr="00C86960"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C86960">
              <w:rPr>
                <w:b/>
                <w:bCs/>
                <w:sz w:val="16"/>
                <w:szCs w:val="18"/>
                <w:lang w:val="en-US"/>
              </w:rPr>
              <w:t>201</w:t>
            </w:r>
            <w:r w:rsidR="00B511F4">
              <w:rPr>
                <w:b/>
                <w:bCs/>
                <w:sz w:val="16"/>
                <w:szCs w:val="18"/>
                <w:lang w:val="en-US"/>
              </w:rPr>
              <w:t>4</w:t>
            </w:r>
          </w:p>
          <w:p w14:paraId="0BA1BC52" w14:textId="77777777" w:rsidR="00E35A0C"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C86960">
              <w:rPr>
                <w:b/>
                <w:bCs/>
                <w:sz w:val="16"/>
                <w:szCs w:val="18"/>
                <w:lang w:val="en-US"/>
              </w:rPr>
              <w:t>£000</w:t>
            </w:r>
          </w:p>
          <w:p w14:paraId="56C23A94" w14:textId="77777777" w:rsidR="00EA5815" w:rsidRDefault="00EA5815"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01" w:type="pct"/>
            <w:vAlign w:val="bottom"/>
          </w:tcPr>
          <w:p w14:paraId="744E20B8" w14:textId="77777777" w:rsidR="00E35A0C"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w:t>
            </w:r>
            <w:r>
              <w:rPr>
                <w:b/>
                <w:bCs/>
                <w:sz w:val="16"/>
                <w:szCs w:val="18"/>
                <w:lang w:val="en-US"/>
              </w:rPr>
              <w:br/>
              <w:t>ended</w:t>
            </w:r>
            <w:r>
              <w:rPr>
                <w:b/>
                <w:bCs/>
                <w:sz w:val="16"/>
                <w:szCs w:val="18"/>
                <w:lang w:val="en-US"/>
              </w:rPr>
              <w:br/>
              <w:t>31 December</w:t>
            </w:r>
            <w:r>
              <w:rPr>
                <w:b/>
                <w:bCs/>
                <w:sz w:val="16"/>
                <w:szCs w:val="18"/>
                <w:lang w:val="en-US"/>
              </w:rPr>
              <w:br/>
              <w:t>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744A34B1" w14:textId="77777777" w:rsidR="00EA5815" w:rsidRDefault="00EA5815"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Audited</w:t>
            </w:r>
          </w:p>
        </w:tc>
      </w:tr>
      <w:tr w:rsidR="00B511F4" w:rsidRPr="00D60F74" w14:paraId="489A4209" w14:textId="77777777" w:rsidTr="00AF5671">
        <w:trPr>
          <w:cantSplit/>
          <w:jc w:val="center"/>
        </w:trPr>
        <w:tc>
          <w:tcPr>
            <w:tcW w:w="3146" w:type="pct"/>
          </w:tcPr>
          <w:p w14:paraId="37CA76D6" w14:textId="77777777" w:rsidR="00B511F4" w:rsidRPr="00D60F74" w:rsidRDefault="00B511F4" w:rsidP="009D1134">
            <w:pPr>
              <w:widowControl/>
              <w:tabs>
                <w:tab w:val="right" w:leader="dot" w:pos="4600"/>
              </w:tabs>
              <w:suppressAutoHyphens/>
              <w:ind w:left="200" w:hanging="200"/>
              <w:rPr>
                <w:lang w:val="en-US"/>
              </w:rPr>
            </w:pPr>
            <w:r w:rsidRPr="00D60F74">
              <w:rPr>
                <w:lang w:val="en-US"/>
              </w:rPr>
              <w:t>UK and Channel Islands</w:t>
            </w:r>
            <w:r w:rsidRPr="00D60F74">
              <w:rPr>
                <w:lang w:val="en-US"/>
              </w:rPr>
              <w:tab/>
            </w:r>
          </w:p>
        </w:tc>
        <w:tc>
          <w:tcPr>
            <w:tcW w:w="652" w:type="pct"/>
            <w:vAlign w:val="bottom"/>
          </w:tcPr>
          <w:p w14:paraId="6D3DC90E" w14:textId="77777777" w:rsidR="00B511F4" w:rsidRPr="00D60F74" w:rsidRDefault="006E64D3" w:rsidP="00D76CE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530</w:t>
            </w:r>
          </w:p>
        </w:tc>
        <w:tc>
          <w:tcPr>
            <w:tcW w:w="601" w:type="pct"/>
            <w:vAlign w:val="bottom"/>
          </w:tcPr>
          <w:p w14:paraId="76570BB4" w14:textId="77777777" w:rsidR="00B511F4" w:rsidRPr="00D60F74"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789</w:t>
            </w:r>
          </w:p>
        </w:tc>
        <w:tc>
          <w:tcPr>
            <w:tcW w:w="601" w:type="pct"/>
            <w:vAlign w:val="bottom"/>
          </w:tcPr>
          <w:p w14:paraId="0468EEB5" w14:textId="77777777" w:rsidR="00B511F4" w:rsidRPr="00D60F74"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1,622</w:t>
            </w:r>
          </w:p>
        </w:tc>
      </w:tr>
      <w:tr w:rsidR="00B511F4" w:rsidRPr="00D60F74" w14:paraId="7CB9FD9B" w14:textId="77777777" w:rsidTr="00AF5671">
        <w:trPr>
          <w:cantSplit/>
          <w:jc w:val="center"/>
        </w:trPr>
        <w:tc>
          <w:tcPr>
            <w:tcW w:w="3146" w:type="pct"/>
          </w:tcPr>
          <w:p w14:paraId="60E43A85" w14:textId="77777777" w:rsidR="00B511F4" w:rsidRPr="00D60F74" w:rsidRDefault="00B511F4" w:rsidP="009D1134">
            <w:pPr>
              <w:widowControl/>
              <w:tabs>
                <w:tab w:val="right" w:leader="dot" w:pos="4600"/>
              </w:tabs>
              <w:suppressAutoHyphens/>
              <w:ind w:left="200" w:hanging="200"/>
              <w:rPr>
                <w:lang w:val="en-US"/>
              </w:rPr>
            </w:pPr>
            <w:r w:rsidRPr="00D60F74">
              <w:rPr>
                <w:lang w:val="en-US"/>
              </w:rPr>
              <w:t>Italy</w:t>
            </w:r>
            <w:r w:rsidRPr="00D60F74">
              <w:rPr>
                <w:lang w:val="en-US"/>
              </w:rPr>
              <w:tab/>
            </w:r>
          </w:p>
        </w:tc>
        <w:tc>
          <w:tcPr>
            <w:tcW w:w="652" w:type="pct"/>
            <w:vAlign w:val="bottom"/>
          </w:tcPr>
          <w:p w14:paraId="2EA5E5B2" w14:textId="77777777" w:rsidR="00B511F4" w:rsidRPr="00D60F74" w:rsidRDefault="001B176B"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622</w:t>
            </w:r>
          </w:p>
        </w:tc>
        <w:tc>
          <w:tcPr>
            <w:tcW w:w="601" w:type="pct"/>
            <w:vAlign w:val="bottom"/>
          </w:tcPr>
          <w:p w14:paraId="2D69AE4A" w14:textId="77777777" w:rsidR="00B511F4" w:rsidRPr="00D60F74"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587</w:t>
            </w:r>
          </w:p>
        </w:tc>
        <w:tc>
          <w:tcPr>
            <w:tcW w:w="601" w:type="pct"/>
            <w:vAlign w:val="bottom"/>
          </w:tcPr>
          <w:p w14:paraId="4A501171" w14:textId="77777777" w:rsidR="00B511F4" w:rsidRPr="00D60F74"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1,150</w:t>
            </w:r>
          </w:p>
        </w:tc>
      </w:tr>
      <w:tr w:rsidR="00374BA5" w:rsidRPr="00D60F74" w14:paraId="0F8144A7" w14:textId="77777777" w:rsidTr="009E7D9B">
        <w:trPr>
          <w:cantSplit/>
          <w:jc w:val="center"/>
        </w:trPr>
        <w:tc>
          <w:tcPr>
            <w:tcW w:w="3146" w:type="pct"/>
          </w:tcPr>
          <w:p w14:paraId="0643102F" w14:textId="77777777" w:rsidR="00374BA5" w:rsidRPr="00D60F74" w:rsidRDefault="00374BA5" w:rsidP="009E7D9B">
            <w:pPr>
              <w:widowControl/>
              <w:tabs>
                <w:tab w:val="right" w:leader="dot" w:pos="4600"/>
              </w:tabs>
              <w:suppressAutoHyphens/>
              <w:ind w:left="200" w:hanging="200"/>
              <w:rPr>
                <w:lang w:val="en-US"/>
              </w:rPr>
            </w:pPr>
            <w:r>
              <w:rPr>
                <w:lang w:val="en-US"/>
              </w:rPr>
              <w:t>The Netherlands</w:t>
            </w:r>
            <w:r w:rsidRPr="00D60F74">
              <w:rPr>
                <w:lang w:val="en-US"/>
              </w:rPr>
              <w:tab/>
            </w:r>
          </w:p>
        </w:tc>
        <w:tc>
          <w:tcPr>
            <w:tcW w:w="652" w:type="pct"/>
            <w:vAlign w:val="bottom"/>
          </w:tcPr>
          <w:p w14:paraId="55D08BB4" w14:textId="77777777" w:rsidR="00374BA5" w:rsidRPr="00D60F74" w:rsidRDefault="001B176B"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60</w:t>
            </w:r>
          </w:p>
        </w:tc>
        <w:tc>
          <w:tcPr>
            <w:tcW w:w="601" w:type="pct"/>
            <w:vAlign w:val="bottom"/>
          </w:tcPr>
          <w:p w14:paraId="3C8C4DCF" w14:textId="77777777" w:rsidR="00374BA5" w:rsidRPr="00D60F74" w:rsidRDefault="001B176B"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w:t>
            </w:r>
          </w:p>
        </w:tc>
        <w:tc>
          <w:tcPr>
            <w:tcW w:w="601" w:type="pct"/>
            <w:vAlign w:val="bottom"/>
          </w:tcPr>
          <w:p w14:paraId="6D91DABC" w14:textId="77777777" w:rsidR="00374BA5" w:rsidRPr="00D60F74" w:rsidRDefault="00374BA5" w:rsidP="009E7D9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490</w:t>
            </w:r>
          </w:p>
        </w:tc>
      </w:tr>
      <w:tr w:rsidR="00B511F4" w:rsidRPr="00D60F74" w14:paraId="4C84C94D" w14:textId="77777777" w:rsidTr="00AF5671">
        <w:trPr>
          <w:cantSplit/>
          <w:jc w:val="center"/>
        </w:trPr>
        <w:tc>
          <w:tcPr>
            <w:tcW w:w="3146" w:type="pct"/>
          </w:tcPr>
          <w:p w14:paraId="6D3372F0" w14:textId="77777777" w:rsidR="00B511F4" w:rsidRPr="00D60F74" w:rsidRDefault="00B511F4" w:rsidP="009D1134">
            <w:pPr>
              <w:widowControl/>
              <w:tabs>
                <w:tab w:val="right" w:leader="dot" w:pos="4600"/>
              </w:tabs>
              <w:suppressAutoHyphens/>
              <w:ind w:left="200" w:hanging="200"/>
              <w:rPr>
                <w:lang w:val="en-US"/>
              </w:rPr>
            </w:pPr>
            <w:r w:rsidRPr="00D60F74">
              <w:rPr>
                <w:lang w:val="en-US"/>
              </w:rPr>
              <w:t>USA</w:t>
            </w:r>
            <w:r w:rsidRPr="00D60F74">
              <w:rPr>
                <w:lang w:val="en-US"/>
              </w:rPr>
              <w:tab/>
            </w:r>
          </w:p>
        </w:tc>
        <w:tc>
          <w:tcPr>
            <w:tcW w:w="652" w:type="pct"/>
            <w:vAlign w:val="bottom"/>
          </w:tcPr>
          <w:p w14:paraId="69CD4AD6" w14:textId="77777777" w:rsidR="00B511F4" w:rsidRPr="00D60F74" w:rsidRDefault="001B176B" w:rsidP="006E64D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w:t>
            </w:r>
            <w:r w:rsidR="006E64D3">
              <w:rPr>
                <w:lang w:val="en-US"/>
              </w:rPr>
              <w:t>479</w:t>
            </w:r>
          </w:p>
        </w:tc>
        <w:tc>
          <w:tcPr>
            <w:tcW w:w="601" w:type="pct"/>
            <w:vAlign w:val="bottom"/>
          </w:tcPr>
          <w:p w14:paraId="03BCD215" w14:textId="77777777" w:rsidR="00B511F4" w:rsidRPr="00D60F74"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1,537</w:t>
            </w:r>
          </w:p>
        </w:tc>
        <w:tc>
          <w:tcPr>
            <w:tcW w:w="601" w:type="pct"/>
            <w:vAlign w:val="bottom"/>
          </w:tcPr>
          <w:p w14:paraId="7DD4170A" w14:textId="77777777" w:rsidR="00B511F4" w:rsidRPr="00D60F74"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2,780</w:t>
            </w:r>
          </w:p>
        </w:tc>
      </w:tr>
      <w:tr w:rsidR="00B511F4" w:rsidRPr="00D60F74" w14:paraId="31AB6489" w14:textId="77777777" w:rsidTr="00AF5671">
        <w:trPr>
          <w:cantSplit/>
          <w:jc w:val="center"/>
        </w:trPr>
        <w:tc>
          <w:tcPr>
            <w:tcW w:w="3146" w:type="pct"/>
          </w:tcPr>
          <w:p w14:paraId="1D2B73C1" w14:textId="77777777" w:rsidR="00B511F4" w:rsidRPr="00D60F74" w:rsidRDefault="00B511F4" w:rsidP="009D1134">
            <w:pPr>
              <w:widowControl/>
              <w:tabs>
                <w:tab w:val="right" w:leader="dot" w:pos="4600"/>
              </w:tabs>
              <w:suppressAutoHyphens/>
              <w:ind w:left="200" w:hanging="200"/>
              <w:rPr>
                <w:lang w:val="en-US"/>
              </w:rPr>
            </w:pPr>
            <w:r w:rsidRPr="00D60F74">
              <w:rPr>
                <w:lang w:val="en-US"/>
              </w:rPr>
              <w:t>Australia</w:t>
            </w:r>
            <w:r w:rsidRPr="00D60F74">
              <w:rPr>
                <w:lang w:val="en-US"/>
              </w:rPr>
              <w:tab/>
            </w:r>
          </w:p>
        </w:tc>
        <w:tc>
          <w:tcPr>
            <w:tcW w:w="652" w:type="pct"/>
            <w:vAlign w:val="bottom"/>
          </w:tcPr>
          <w:p w14:paraId="2704725B" w14:textId="77777777" w:rsidR="00B511F4" w:rsidRPr="00D60F74" w:rsidRDefault="001B176B"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201</w:t>
            </w:r>
          </w:p>
        </w:tc>
        <w:tc>
          <w:tcPr>
            <w:tcW w:w="601" w:type="pct"/>
            <w:vAlign w:val="bottom"/>
          </w:tcPr>
          <w:p w14:paraId="70A3CC38" w14:textId="77777777" w:rsidR="00B511F4" w:rsidRPr="00D60F74"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1,147</w:t>
            </w:r>
          </w:p>
        </w:tc>
        <w:tc>
          <w:tcPr>
            <w:tcW w:w="601" w:type="pct"/>
            <w:vAlign w:val="bottom"/>
          </w:tcPr>
          <w:p w14:paraId="56DE8544" w14:textId="77777777" w:rsidR="00B511F4" w:rsidRPr="00D60F74"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1,162</w:t>
            </w:r>
          </w:p>
        </w:tc>
      </w:tr>
      <w:tr w:rsidR="00B511F4" w:rsidRPr="002F3885" w14:paraId="23A32577" w14:textId="77777777" w:rsidTr="00AF5671">
        <w:trPr>
          <w:cantSplit/>
          <w:jc w:val="center"/>
        </w:trPr>
        <w:tc>
          <w:tcPr>
            <w:tcW w:w="3146" w:type="pct"/>
          </w:tcPr>
          <w:p w14:paraId="173CA5A7" w14:textId="77777777" w:rsidR="00B511F4" w:rsidRPr="00D60F74" w:rsidRDefault="00B511F4" w:rsidP="009D1134">
            <w:pPr>
              <w:widowControl/>
              <w:tabs>
                <w:tab w:val="right" w:leader="dot" w:pos="4600"/>
              </w:tabs>
              <w:suppressAutoHyphens/>
              <w:spacing w:after="20"/>
              <w:ind w:left="200" w:hanging="200"/>
              <w:rPr>
                <w:lang w:val="en-US"/>
              </w:rPr>
            </w:pPr>
            <w:r w:rsidRPr="00D60F74">
              <w:rPr>
                <w:lang w:val="en-US"/>
              </w:rPr>
              <w:t>Rest of the World</w:t>
            </w:r>
            <w:r w:rsidRPr="00D60F74">
              <w:rPr>
                <w:lang w:val="en-US"/>
              </w:rPr>
              <w:tab/>
            </w:r>
          </w:p>
        </w:tc>
        <w:tc>
          <w:tcPr>
            <w:tcW w:w="652" w:type="pct"/>
            <w:vAlign w:val="bottom"/>
          </w:tcPr>
          <w:p w14:paraId="0CABAEE5" w14:textId="77777777" w:rsidR="00B511F4" w:rsidRPr="00D60F74" w:rsidRDefault="001B176B" w:rsidP="008E6D7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601" w:type="pct"/>
            <w:vAlign w:val="bottom"/>
          </w:tcPr>
          <w:p w14:paraId="316135A6" w14:textId="77777777" w:rsidR="00B511F4" w:rsidRPr="00D60F74" w:rsidRDefault="00B511F4"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106</w:t>
            </w:r>
          </w:p>
        </w:tc>
        <w:tc>
          <w:tcPr>
            <w:tcW w:w="601" w:type="pct"/>
            <w:vAlign w:val="bottom"/>
          </w:tcPr>
          <w:p w14:paraId="7953EC74" w14:textId="77777777" w:rsidR="00B511F4" w:rsidRPr="00D60F74" w:rsidRDefault="00374BA5"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324</w:t>
            </w:r>
          </w:p>
        </w:tc>
      </w:tr>
      <w:tr w:rsidR="00B511F4" w:rsidRPr="002F3885" w14:paraId="08AC2F54" w14:textId="77777777" w:rsidTr="00AF5671">
        <w:trPr>
          <w:cantSplit/>
          <w:jc w:val="center"/>
        </w:trPr>
        <w:tc>
          <w:tcPr>
            <w:tcW w:w="3146" w:type="pct"/>
          </w:tcPr>
          <w:p w14:paraId="44E0FB81" w14:textId="77777777" w:rsidR="00B511F4" w:rsidRPr="002F3885" w:rsidRDefault="00B511F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652" w:type="pct"/>
            <w:vAlign w:val="bottom"/>
          </w:tcPr>
          <w:p w14:paraId="061D6353" w14:textId="77777777" w:rsidR="00B511F4" w:rsidRPr="002F3885" w:rsidRDefault="001B176B" w:rsidP="006E64D3">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w:t>
            </w:r>
            <w:r w:rsidR="006E64D3">
              <w:rPr>
                <w:lang w:val="en-US"/>
              </w:rPr>
              <w:t>892</w:t>
            </w:r>
          </w:p>
        </w:tc>
        <w:tc>
          <w:tcPr>
            <w:tcW w:w="601" w:type="pct"/>
            <w:vAlign w:val="bottom"/>
          </w:tcPr>
          <w:p w14:paraId="30782A5D" w14:textId="77777777" w:rsidR="00B511F4" w:rsidRPr="002F3885" w:rsidRDefault="00B511F4"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4,166</w:t>
            </w:r>
          </w:p>
        </w:tc>
        <w:tc>
          <w:tcPr>
            <w:tcW w:w="601" w:type="pct"/>
            <w:vAlign w:val="bottom"/>
          </w:tcPr>
          <w:p w14:paraId="0CFE0901" w14:textId="77777777" w:rsidR="00B511F4" w:rsidRPr="002F3885" w:rsidRDefault="00374BA5"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7,528</w:t>
            </w:r>
          </w:p>
        </w:tc>
      </w:tr>
    </w:tbl>
    <w:p w14:paraId="50A05353" w14:textId="77777777" w:rsidR="007B7E5E" w:rsidRDefault="007B7E5E" w:rsidP="003123C6">
      <w:pPr>
        <w:widowControl/>
        <w:tabs>
          <w:tab w:val="left" w:pos="-720"/>
        </w:tabs>
        <w:suppressAutoHyphens/>
        <w:spacing w:after="240"/>
        <w:jc w:val="both"/>
        <w:rPr>
          <w:lang w:val="en-US"/>
        </w:rPr>
      </w:pPr>
    </w:p>
    <w:p w14:paraId="31A97EA1" w14:textId="77777777" w:rsidR="009D1134" w:rsidRPr="00195074" w:rsidRDefault="009D1134" w:rsidP="009D1134">
      <w:pPr>
        <w:keepNext/>
        <w:keepLines/>
        <w:widowControl/>
        <w:tabs>
          <w:tab w:val="left" w:pos="-720"/>
          <w:tab w:val="left" w:pos="720"/>
          <w:tab w:val="left" w:pos="1440"/>
        </w:tabs>
        <w:suppressAutoHyphens/>
        <w:spacing w:after="240"/>
        <w:jc w:val="both"/>
        <w:rPr>
          <w:b/>
          <w:bCs/>
          <w:lang w:val="en-US"/>
        </w:rPr>
      </w:pPr>
      <w:r w:rsidRPr="00195074">
        <w:rPr>
          <w:b/>
          <w:bCs/>
          <w:lang w:val="en-US"/>
        </w:rPr>
        <w:t xml:space="preserve">Geographical </w:t>
      </w:r>
      <w:r w:rsidR="008215B8" w:rsidRPr="00195074">
        <w:rPr>
          <w:b/>
          <w:bCs/>
          <w:lang w:val="en-US"/>
        </w:rPr>
        <w:t>a</w:t>
      </w:r>
      <w:r w:rsidRPr="00195074">
        <w:rPr>
          <w:b/>
          <w:bCs/>
          <w:lang w:val="en-US"/>
        </w:rPr>
        <w:t xml:space="preserve">nalysis of </w:t>
      </w:r>
      <w:r w:rsidR="008215B8" w:rsidRPr="00195074">
        <w:rPr>
          <w:b/>
          <w:bCs/>
          <w:lang w:val="en-US"/>
        </w:rPr>
        <w:t>n</w:t>
      </w:r>
      <w:r w:rsidRPr="00195074">
        <w:rPr>
          <w:b/>
          <w:bCs/>
          <w:lang w:val="en-US"/>
        </w:rPr>
        <w:t>on</w:t>
      </w:r>
      <w:r w:rsidRPr="00195074">
        <w:rPr>
          <w:b/>
          <w:bCs/>
          <w:lang w:val="en-US"/>
        </w:rPr>
        <w:noBreakHyphen/>
      </w:r>
      <w:r w:rsidR="008215B8" w:rsidRPr="00195074">
        <w:rPr>
          <w:b/>
          <w:bCs/>
          <w:lang w:val="en-US"/>
        </w:rPr>
        <w:t>c</w:t>
      </w:r>
      <w:r w:rsidRPr="00195074">
        <w:rPr>
          <w:b/>
          <w:bCs/>
          <w:lang w:val="en-US"/>
        </w:rPr>
        <w:t xml:space="preserve">urrent </w:t>
      </w:r>
      <w:r w:rsidR="008215B8" w:rsidRPr="00195074">
        <w:rPr>
          <w:b/>
          <w:bCs/>
          <w:lang w:val="en-US"/>
        </w:rPr>
        <w:t>a</w:t>
      </w:r>
      <w:r w:rsidRPr="00195074">
        <w:rPr>
          <w:b/>
          <w:bCs/>
          <w:lang w:val="en-US"/>
        </w:rPr>
        <w:t>ssets</w:t>
      </w:r>
    </w:p>
    <w:tbl>
      <w:tblPr>
        <w:tblW w:w="5110" w:type="pct"/>
        <w:jc w:val="center"/>
        <w:tblCellMar>
          <w:left w:w="72" w:type="dxa"/>
          <w:right w:w="72" w:type="dxa"/>
        </w:tblCellMar>
        <w:tblLook w:val="0000" w:firstRow="0" w:lastRow="0" w:firstColumn="0" w:lastColumn="0" w:noHBand="0" w:noVBand="0"/>
      </w:tblPr>
      <w:tblGrid>
        <w:gridCol w:w="5965"/>
        <w:gridCol w:w="1297"/>
        <w:gridCol w:w="1297"/>
        <w:gridCol w:w="1295"/>
      </w:tblGrid>
      <w:tr w:rsidR="00E35A0C" w:rsidRPr="00195074" w14:paraId="7D4A835E" w14:textId="77777777">
        <w:trPr>
          <w:cantSplit/>
          <w:trHeight w:val="855"/>
          <w:jc w:val="center"/>
        </w:trPr>
        <w:tc>
          <w:tcPr>
            <w:tcW w:w="3027" w:type="pct"/>
            <w:tcBorders>
              <w:top w:val="nil"/>
              <w:left w:val="nil"/>
              <w:bottom w:val="nil"/>
              <w:right w:val="nil"/>
            </w:tcBorders>
            <w:vAlign w:val="bottom"/>
          </w:tcPr>
          <w:p w14:paraId="4E6BBA68" w14:textId="77777777" w:rsidR="00E35A0C" w:rsidRPr="00195074" w:rsidRDefault="00E35A0C"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658" w:type="pct"/>
            <w:tcBorders>
              <w:top w:val="nil"/>
              <w:left w:val="nil"/>
              <w:bottom w:val="nil"/>
              <w:right w:val="nil"/>
            </w:tcBorders>
            <w:vAlign w:val="bottom"/>
          </w:tcPr>
          <w:p w14:paraId="15DB1268" w14:textId="77777777" w:rsidR="00E35A0C" w:rsidRDefault="00E35A0C"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195074">
              <w:rPr>
                <w:b/>
                <w:bCs/>
                <w:sz w:val="16"/>
                <w:szCs w:val="18"/>
                <w:lang w:val="en-US"/>
              </w:rPr>
              <w:t>At</w:t>
            </w:r>
            <w:r w:rsidRPr="00195074">
              <w:rPr>
                <w:b/>
                <w:bCs/>
                <w:sz w:val="16"/>
                <w:szCs w:val="18"/>
                <w:lang w:val="en-US"/>
              </w:rPr>
              <w:br/>
              <w:t>30 June</w:t>
            </w:r>
            <w:r w:rsidRPr="00195074">
              <w:rPr>
                <w:b/>
                <w:bCs/>
                <w:sz w:val="16"/>
                <w:szCs w:val="18"/>
                <w:lang w:val="en-US"/>
              </w:rPr>
              <w:br/>
              <w:t>201</w:t>
            </w:r>
            <w:r w:rsidR="00B511F4">
              <w:rPr>
                <w:b/>
                <w:bCs/>
                <w:sz w:val="16"/>
                <w:szCs w:val="18"/>
                <w:lang w:val="en-US"/>
              </w:rPr>
              <w:t>5</w:t>
            </w:r>
            <w:r w:rsidRPr="00195074">
              <w:rPr>
                <w:b/>
                <w:bCs/>
                <w:sz w:val="16"/>
                <w:szCs w:val="18"/>
                <w:lang w:val="en-US"/>
              </w:rPr>
              <w:br/>
              <w:t>£’000</w:t>
            </w:r>
          </w:p>
          <w:p w14:paraId="105DE578" w14:textId="77777777" w:rsidR="00195074" w:rsidRPr="00195074" w:rsidRDefault="00195074"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8" w:type="pct"/>
            <w:tcBorders>
              <w:top w:val="nil"/>
              <w:left w:val="nil"/>
              <w:bottom w:val="nil"/>
              <w:right w:val="nil"/>
            </w:tcBorders>
            <w:vAlign w:val="bottom"/>
          </w:tcPr>
          <w:p w14:paraId="7D38DD38" w14:textId="77777777" w:rsidR="00E35A0C" w:rsidRDefault="00E35A0C"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195074">
              <w:rPr>
                <w:b/>
                <w:bCs/>
                <w:sz w:val="16"/>
                <w:szCs w:val="18"/>
                <w:lang w:val="en-US"/>
              </w:rPr>
              <w:t>At</w:t>
            </w:r>
            <w:r w:rsidRPr="00195074">
              <w:rPr>
                <w:b/>
                <w:bCs/>
                <w:sz w:val="16"/>
                <w:szCs w:val="18"/>
                <w:lang w:val="en-US"/>
              </w:rPr>
              <w:br/>
              <w:t>30 June</w:t>
            </w:r>
            <w:r w:rsidRPr="00195074">
              <w:rPr>
                <w:b/>
                <w:bCs/>
                <w:sz w:val="16"/>
                <w:szCs w:val="18"/>
                <w:lang w:val="en-US"/>
              </w:rPr>
              <w:br/>
              <w:t>201</w:t>
            </w:r>
            <w:r w:rsidR="00B511F4">
              <w:rPr>
                <w:b/>
                <w:bCs/>
                <w:sz w:val="16"/>
                <w:szCs w:val="18"/>
                <w:lang w:val="en-US"/>
              </w:rPr>
              <w:t>4</w:t>
            </w:r>
            <w:r w:rsidRPr="00195074">
              <w:rPr>
                <w:b/>
                <w:bCs/>
                <w:sz w:val="16"/>
                <w:szCs w:val="18"/>
                <w:lang w:val="en-US"/>
              </w:rPr>
              <w:br/>
              <w:t>£’000</w:t>
            </w:r>
          </w:p>
          <w:p w14:paraId="098BA921" w14:textId="77777777" w:rsidR="00195074" w:rsidRPr="00195074" w:rsidRDefault="00195074"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7" w:type="pct"/>
            <w:tcBorders>
              <w:top w:val="nil"/>
              <w:left w:val="nil"/>
              <w:bottom w:val="nil"/>
              <w:right w:val="nil"/>
            </w:tcBorders>
            <w:vAlign w:val="bottom"/>
          </w:tcPr>
          <w:p w14:paraId="4DE40D29" w14:textId="77777777" w:rsidR="00E35A0C" w:rsidRDefault="00E35A0C"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195074">
              <w:rPr>
                <w:b/>
                <w:bCs/>
                <w:sz w:val="16"/>
                <w:szCs w:val="18"/>
                <w:lang w:val="en-US"/>
              </w:rPr>
              <w:t>At</w:t>
            </w:r>
            <w:r w:rsidRPr="00195074">
              <w:rPr>
                <w:b/>
                <w:bCs/>
                <w:sz w:val="16"/>
                <w:szCs w:val="18"/>
                <w:lang w:val="en-US"/>
              </w:rPr>
              <w:br/>
              <w:t>31 December</w:t>
            </w:r>
            <w:r w:rsidRPr="00195074">
              <w:rPr>
                <w:b/>
                <w:bCs/>
                <w:sz w:val="16"/>
                <w:szCs w:val="18"/>
                <w:lang w:val="en-US"/>
              </w:rPr>
              <w:br/>
              <w:t>201</w:t>
            </w:r>
            <w:r w:rsidR="00B511F4">
              <w:rPr>
                <w:b/>
                <w:bCs/>
                <w:sz w:val="16"/>
                <w:szCs w:val="18"/>
                <w:lang w:val="en-US"/>
              </w:rPr>
              <w:t>4</w:t>
            </w:r>
            <w:r w:rsidRPr="00195074">
              <w:rPr>
                <w:b/>
                <w:bCs/>
                <w:sz w:val="16"/>
                <w:szCs w:val="18"/>
                <w:lang w:val="en-US"/>
              </w:rPr>
              <w:br/>
              <w:t>£’000</w:t>
            </w:r>
          </w:p>
          <w:p w14:paraId="40D9C43F" w14:textId="77777777" w:rsidR="00195074" w:rsidRPr="00195074" w:rsidRDefault="00195074" w:rsidP="00A04D4B">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Audited</w:t>
            </w:r>
          </w:p>
        </w:tc>
      </w:tr>
      <w:tr w:rsidR="00B511F4" w:rsidRPr="00195074" w14:paraId="75941379" w14:textId="77777777">
        <w:trPr>
          <w:cantSplit/>
          <w:trHeight w:val="251"/>
          <w:jc w:val="center"/>
        </w:trPr>
        <w:tc>
          <w:tcPr>
            <w:tcW w:w="3027" w:type="pct"/>
            <w:tcBorders>
              <w:top w:val="nil"/>
              <w:left w:val="nil"/>
              <w:bottom w:val="nil"/>
              <w:right w:val="nil"/>
            </w:tcBorders>
          </w:tcPr>
          <w:p w14:paraId="2E9EAF3A" w14:textId="77777777" w:rsidR="00B511F4" w:rsidRPr="00195074" w:rsidRDefault="00B511F4" w:rsidP="009D1134">
            <w:pPr>
              <w:widowControl/>
              <w:tabs>
                <w:tab w:val="right" w:leader="dot" w:pos="4260"/>
              </w:tabs>
              <w:suppressAutoHyphens/>
              <w:ind w:left="200" w:hanging="200"/>
              <w:rPr>
                <w:lang w:val="en-US"/>
              </w:rPr>
            </w:pPr>
            <w:r w:rsidRPr="00195074">
              <w:rPr>
                <w:lang w:val="en-US"/>
              </w:rPr>
              <w:t>UK and Channel Islands</w:t>
            </w:r>
            <w:r w:rsidRPr="00195074">
              <w:rPr>
                <w:lang w:val="en-US"/>
              </w:rPr>
              <w:tab/>
            </w:r>
          </w:p>
        </w:tc>
        <w:tc>
          <w:tcPr>
            <w:tcW w:w="658" w:type="pct"/>
            <w:tcBorders>
              <w:top w:val="nil"/>
              <w:left w:val="nil"/>
              <w:bottom w:val="nil"/>
              <w:right w:val="nil"/>
            </w:tcBorders>
            <w:vAlign w:val="bottom"/>
          </w:tcPr>
          <w:p w14:paraId="18B50423" w14:textId="77777777" w:rsidR="00B511F4" w:rsidRPr="00195074" w:rsidRDefault="00165009" w:rsidP="0016500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5,094</w:t>
            </w:r>
          </w:p>
        </w:tc>
        <w:tc>
          <w:tcPr>
            <w:tcW w:w="658" w:type="pct"/>
            <w:tcBorders>
              <w:top w:val="nil"/>
              <w:left w:val="nil"/>
              <w:bottom w:val="nil"/>
              <w:right w:val="nil"/>
            </w:tcBorders>
            <w:vAlign w:val="bottom"/>
          </w:tcPr>
          <w:p w14:paraId="736C71CD" w14:textId="77777777" w:rsidR="00B511F4" w:rsidRPr="00195074" w:rsidRDefault="00B511F4" w:rsidP="00F3025B">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w:t>
            </w:r>
            <w:r w:rsidR="00F3025B">
              <w:rPr>
                <w:lang w:val="en-US"/>
              </w:rPr>
              <w:t>01</w:t>
            </w:r>
            <w:r>
              <w:rPr>
                <w:lang w:val="en-US"/>
              </w:rPr>
              <w:t>7</w:t>
            </w:r>
          </w:p>
        </w:tc>
        <w:tc>
          <w:tcPr>
            <w:tcW w:w="657" w:type="pct"/>
            <w:tcBorders>
              <w:top w:val="nil"/>
              <w:left w:val="nil"/>
              <w:bottom w:val="nil"/>
              <w:right w:val="nil"/>
            </w:tcBorders>
            <w:vAlign w:val="bottom"/>
          </w:tcPr>
          <w:p w14:paraId="2256C36E" w14:textId="77777777" w:rsidR="00B511F4" w:rsidRPr="00195074" w:rsidRDefault="00374BA5" w:rsidP="001F46D3">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3,583</w:t>
            </w:r>
          </w:p>
        </w:tc>
      </w:tr>
      <w:tr w:rsidR="00B511F4" w:rsidRPr="00195074" w14:paraId="71C1A469" w14:textId="77777777">
        <w:trPr>
          <w:cantSplit/>
          <w:trHeight w:val="251"/>
          <w:jc w:val="center"/>
        </w:trPr>
        <w:tc>
          <w:tcPr>
            <w:tcW w:w="3027" w:type="pct"/>
            <w:tcBorders>
              <w:top w:val="nil"/>
              <w:left w:val="nil"/>
              <w:bottom w:val="nil"/>
              <w:right w:val="nil"/>
            </w:tcBorders>
          </w:tcPr>
          <w:p w14:paraId="4CBBF1DB" w14:textId="77777777" w:rsidR="00B511F4" w:rsidRPr="00195074" w:rsidRDefault="00B511F4" w:rsidP="0066253C">
            <w:pPr>
              <w:widowControl/>
              <w:tabs>
                <w:tab w:val="right" w:leader="dot" w:pos="4260"/>
              </w:tabs>
              <w:suppressAutoHyphens/>
              <w:ind w:left="200" w:hanging="200"/>
              <w:rPr>
                <w:lang w:val="en-US"/>
              </w:rPr>
            </w:pPr>
            <w:r w:rsidRPr="00195074">
              <w:rPr>
                <w:lang w:val="en-US"/>
              </w:rPr>
              <w:t>USA</w:t>
            </w:r>
            <w:r w:rsidRPr="00195074">
              <w:rPr>
                <w:lang w:val="en-US"/>
              </w:rPr>
              <w:tab/>
            </w:r>
          </w:p>
        </w:tc>
        <w:tc>
          <w:tcPr>
            <w:tcW w:w="658" w:type="pct"/>
            <w:tcBorders>
              <w:top w:val="nil"/>
              <w:left w:val="nil"/>
              <w:bottom w:val="nil"/>
              <w:right w:val="nil"/>
            </w:tcBorders>
            <w:vAlign w:val="bottom"/>
          </w:tcPr>
          <w:p w14:paraId="613A43C9" w14:textId="77777777" w:rsidR="00B511F4" w:rsidRPr="00195074" w:rsidRDefault="00165009"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200</w:t>
            </w:r>
          </w:p>
        </w:tc>
        <w:tc>
          <w:tcPr>
            <w:tcW w:w="658" w:type="pct"/>
            <w:tcBorders>
              <w:top w:val="nil"/>
              <w:left w:val="nil"/>
              <w:bottom w:val="nil"/>
              <w:right w:val="nil"/>
            </w:tcBorders>
            <w:vAlign w:val="bottom"/>
          </w:tcPr>
          <w:p w14:paraId="13475F12" w14:textId="77777777" w:rsidR="00B511F4" w:rsidRPr="00195074"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sidRPr="00195074">
              <w:rPr>
                <w:lang w:val="en-US"/>
              </w:rPr>
              <w:t>302</w:t>
            </w:r>
          </w:p>
        </w:tc>
        <w:tc>
          <w:tcPr>
            <w:tcW w:w="657" w:type="pct"/>
            <w:tcBorders>
              <w:top w:val="nil"/>
              <w:left w:val="nil"/>
              <w:bottom w:val="nil"/>
              <w:right w:val="nil"/>
            </w:tcBorders>
            <w:vAlign w:val="bottom"/>
          </w:tcPr>
          <w:p w14:paraId="34170257" w14:textId="77777777" w:rsidR="00B511F4" w:rsidRPr="00195074" w:rsidRDefault="00374BA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220</w:t>
            </w:r>
          </w:p>
        </w:tc>
      </w:tr>
      <w:tr w:rsidR="00B511F4" w:rsidRPr="00195074" w14:paraId="23290E0C" w14:textId="77777777">
        <w:trPr>
          <w:cantSplit/>
          <w:trHeight w:val="285"/>
          <w:jc w:val="center"/>
        </w:trPr>
        <w:tc>
          <w:tcPr>
            <w:tcW w:w="3027" w:type="pct"/>
            <w:tcBorders>
              <w:top w:val="nil"/>
              <w:left w:val="nil"/>
              <w:bottom w:val="nil"/>
              <w:right w:val="nil"/>
            </w:tcBorders>
          </w:tcPr>
          <w:p w14:paraId="2CCD440F" w14:textId="77777777" w:rsidR="00B511F4" w:rsidRPr="00195074" w:rsidRDefault="00B511F4" w:rsidP="009D1134">
            <w:pPr>
              <w:widowControl/>
              <w:tabs>
                <w:tab w:val="right" w:leader="dot" w:pos="4260"/>
              </w:tabs>
              <w:suppressAutoHyphens/>
              <w:spacing w:after="20"/>
              <w:ind w:left="200" w:hanging="200"/>
              <w:rPr>
                <w:lang w:val="en-US"/>
              </w:rPr>
            </w:pPr>
            <w:r w:rsidRPr="00195074">
              <w:rPr>
                <w:lang w:val="en-US"/>
              </w:rPr>
              <w:t>Italy</w:t>
            </w:r>
            <w:r w:rsidRPr="00195074">
              <w:rPr>
                <w:lang w:val="en-US"/>
              </w:rPr>
              <w:tab/>
            </w:r>
          </w:p>
        </w:tc>
        <w:tc>
          <w:tcPr>
            <w:tcW w:w="658" w:type="pct"/>
            <w:tcBorders>
              <w:top w:val="nil"/>
              <w:left w:val="nil"/>
              <w:bottom w:val="nil"/>
              <w:right w:val="nil"/>
            </w:tcBorders>
            <w:vAlign w:val="bottom"/>
          </w:tcPr>
          <w:p w14:paraId="59B8CD49" w14:textId="77777777" w:rsidR="00B511F4" w:rsidRPr="00195074" w:rsidRDefault="00F3025B"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23</w:t>
            </w:r>
          </w:p>
        </w:tc>
        <w:tc>
          <w:tcPr>
            <w:tcW w:w="658" w:type="pct"/>
            <w:tcBorders>
              <w:top w:val="nil"/>
              <w:left w:val="nil"/>
              <w:bottom w:val="nil"/>
              <w:right w:val="nil"/>
            </w:tcBorders>
            <w:vAlign w:val="bottom"/>
          </w:tcPr>
          <w:p w14:paraId="21A8618F" w14:textId="77777777" w:rsidR="00B511F4" w:rsidRPr="00195074" w:rsidRDefault="00B511F4"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sidRPr="00195074">
              <w:rPr>
                <w:lang w:val="en-US"/>
              </w:rPr>
              <w:t>-</w:t>
            </w:r>
          </w:p>
        </w:tc>
        <w:tc>
          <w:tcPr>
            <w:tcW w:w="657" w:type="pct"/>
            <w:tcBorders>
              <w:top w:val="nil"/>
              <w:left w:val="nil"/>
              <w:bottom w:val="nil"/>
              <w:right w:val="nil"/>
            </w:tcBorders>
            <w:vAlign w:val="bottom"/>
          </w:tcPr>
          <w:p w14:paraId="53B35DF9" w14:textId="77777777" w:rsidR="00B511F4" w:rsidRPr="00195074" w:rsidRDefault="00374BA5"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28</w:t>
            </w:r>
          </w:p>
        </w:tc>
      </w:tr>
      <w:tr w:rsidR="00B511F4" w:rsidRPr="002F3885" w14:paraId="79C4039D" w14:textId="77777777">
        <w:trPr>
          <w:cantSplit/>
          <w:trHeight w:val="335"/>
          <w:jc w:val="center"/>
        </w:trPr>
        <w:tc>
          <w:tcPr>
            <w:tcW w:w="3027" w:type="pct"/>
            <w:tcBorders>
              <w:top w:val="nil"/>
              <w:left w:val="nil"/>
              <w:bottom w:val="nil"/>
              <w:right w:val="nil"/>
            </w:tcBorders>
          </w:tcPr>
          <w:p w14:paraId="790CAE1C" w14:textId="77777777" w:rsidR="00B511F4" w:rsidRPr="00195074" w:rsidRDefault="00B511F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658" w:type="pct"/>
            <w:tcBorders>
              <w:top w:val="nil"/>
              <w:left w:val="nil"/>
              <w:bottom w:val="nil"/>
              <w:right w:val="nil"/>
            </w:tcBorders>
            <w:vAlign w:val="bottom"/>
          </w:tcPr>
          <w:p w14:paraId="76805A82" w14:textId="77777777" w:rsidR="00B511F4" w:rsidRPr="00195074" w:rsidRDefault="00F3025B" w:rsidP="009D113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5,317</w:t>
            </w:r>
          </w:p>
        </w:tc>
        <w:tc>
          <w:tcPr>
            <w:tcW w:w="658" w:type="pct"/>
            <w:tcBorders>
              <w:top w:val="nil"/>
              <w:left w:val="nil"/>
              <w:bottom w:val="nil"/>
              <w:right w:val="nil"/>
            </w:tcBorders>
            <w:vAlign w:val="bottom"/>
          </w:tcPr>
          <w:p w14:paraId="351D349F" w14:textId="77777777" w:rsidR="00B511F4" w:rsidRPr="00195074" w:rsidRDefault="00B511F4" w:rsidP="00F3025B">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w:t>
            </w:r>
            <w:r w:rsidR="00F3025B">
              <w:rPr>
                <w:lang w:val="en-US"/>
              </w:rPr>
              <w:t>31</w:t>
            </w:r>
            <w:r>
              <w:rPr>
                <w:lang w:val="en-US"/>
              </w:rPr>
              <w:t>9</w:t>
            </w:r>
          </w:p>
        </w:tc>
        <w:tc>
          <w:tcPr>
            <w:tcW w:w="657" w:type="pct"/>
            <w:tcBorders>
              <w:top w:val="nil"/>
              <w:left w:val="nil"/>
              <w:bottom w:val="nil"/>
              <w:right w:val="nil"/>
            </w:tcBorders>
            <w:vAlign w:val="bottom"/>
          </w:tcPr>
          <w:p w14:paraId="3C789A4B" w14:textId="77777777" w:rsidR="00B511F4" w:rsidRPr="002F3885" w:rsidRDefault="00374BA5" w:rsidP="009D1134">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3,831</w:t>
            </w:r>
          </w:p>
        </w:tc>
      </w:tr>
    </w:tbl>
    <w:p w14:paraId="6FCB8C1A" w14:textId="77777777" w:rsidR="009D1134" w:rsidRPr="002F3885" w:rsidRDefault="00A71CB5" w:rsidP="009D1134">
      <w:pPr>
        <w:widowControl/>
        <w:tabs>
          <w:tab w:val="left" w:pos="-720"/>
          <w:tab w:val="left" w:pos="0"/>
        </w:tabs>
        <w:suppressAutoHyphens/>
        <w:spacing w:before="240" w:after="240"/>
        <w:ind w:left="720" w:hanging="720"/>
        <w:jc w:val="both"/>
        <w:rPr>
          <w:lang w:val="en-US"/>
        </w:rPr>
      </w:pPr>
      <w:r>
        <w:rPr>
          <w:b/>
          <w:bCs/>
          <w:lang w:val="en-US"/>
        </w:rPr>
        <w:t>5</w:t>
      </w:r>
      <w:r w:rsidR="009D1134" w:rsidRPr="002F3885">
        <w:rPr>
          <w:b/>
          <w:bCs/>
          <w:lang w:val="en-US"/>
        </w:rPr>
        <w:t>.</w:t>
      </w:r>
      <w:r w:rsidR="009D1134" w:rsidRPr="002F3885">
        <w:rPr>
          <w:b/>
          <w:bCs/>
          <w:lang w:val="en-US"/>
        </w:rPr>
        <w:tab/>
      </w:r>
      <w:r w:rsidR="002B3A13">
        <w:rPr>
          <w:b/>
          <w:bCs/>
          <w:lang w:val="en-US"/>
        </w:rPr>
        <w:t>Exceptional costs</w:t>
      </w:r>
    </w:p>
    <w:p w14:paraId="6ECABB34" w14:textId="77777777" w:rsidR="00042057" w:rsidRDefault="00042057" w:rsidP="002A5168">
      <w:pPr>
        <w:widowControl/>
        <w:tabs>
          <w:tab w:val="left" w:pos="-720"/>
        </w:tabs>
        <w:suppressAutoHyphens/>
        <w:spacing w:before="240" w:after="240"/>
        <w:jc w:val="both"/>
        <w:rPr>
          <w:lang w:val="en-US"/>
        </w:rPr>
      </w:pPr>
    </w:p>
    <w:tbl>
      <w:tblPr>
        <w:tblW w:w="5184" w:type="pct"/>
        <w:jc w:val="center"/>
        <w:tblCellMar>
          <w:left w:w="72" w:type="dxa"/>
          <w:right w:w="72" w:type="dxa"/>
        </w:tblCellMar>
        <w:tblLook w:val="0000" w:firstRow="0" w:lastRow="0" w:firstColumn="0" w:lastColumn="0" w:noHBand="0" w:noVBand="0"/>
      </w:tblPr>
      <w:tblGrid>
        <w:gridCol w:w="6171"/>
        <w:gridCol w:w="1276"/>
        <w:gridCol w:w="1276"/>
        <w:gridCol w:w="1274"/>
      </w:tblGrid>
      <w:tr w:rsidR="00E35A0C" w:rsidRPr="00D079C7" w14:paraId="4AD979D4" w14:textId="77777777" w:rsidTr="00B511F4">
        <w:trPr>
          <w:cantSplit/>
          <w:trHeight w:val="986"/>
          <w:jc w:val="center"/>
        </w:trPr>
        <w:tc>
          <w:tcPr>
            <w:tcW w:w="3086" w:type="pct"/>
          </w:tcPr>
          <w:p w14:paraId="727C9A2C" w14:textId="77777777" w:rsidR="00E35A0C" w:rsidRDefault="00E35A0C" w:rsidP="00E010B8">
            <w:pPr>
              <w:widowControl/>
              <w:tabs>
                <w:tab w:val="right" w:leader="dot" w:pos="4540"/>
              </w:tabs>
              <w:suppressAutoHyphens/>
              <w:ind w:left="200" w:hanging="200"/>
              <w:rPr>
                <w:lang w:val="en-US"/>
              </w:rPr>
            </w:pPr>
          </w:p>
        </w:tc>
        <w:tc>
          <w:tcPr>
            <w:tcW w:w="638" w:type="pct"/>
            <w:vAlign w:val="bottom"/>
          </w:tcPr>
          <w:p w14:paraId="3133738F" w14:textId="77777777" w:rsidR="00E35A0C" w:rsidRDefault="00804784"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sidR="00E35A0C">
              <w:rPr>
                <w:b/>
                <w:bCs/>
                <w:sz w:val="16"/>
                <w:szCs w:val="18"/>
                <w:lang w:val="en-US"/>
              </w:rPr>
              <w:br/>
              <w:t>ended</w:t>
            </w:r>
            <w:r w:rsidR="00E35A0C">
              <w:rPr>
                <w:b/>
                <w:bCs/>
                <w:sz w:val="16"/>
                <w:szCs w:val="18"/>
                <w:lang w:val="en-US"/>
              </w:rPr>
              <w:br/>
              <w:t>30 June</w:t>
            </w:r>
          </w:p>
          <w:p w14:paraId="1DE50C3E" w14:textId="77777777" w:rsidR="00E35A0C" w:rsidRDefault="00E35A0C"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201</w:t>
            </w:r>
            <w:r w:rsidR="00F3025B">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77137173" w14:textId="77777777" w:rsidR="00D079C7" w:rsidRDefault="00D079C7"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38" w:type="pct"/>
            <w:vAlign w:val="bottom"/>
          </w:tcPr>
          <w:p w14:paraId="3FF43B31" w14:textId="77777777" w:rsidR="00E35A0C" w:rsidRDefault="00804784"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sidR="00E35A0C">
              <w:rPr>
                <w:b/>
                <w:bCs/>
                <w:sz w:val="16"/>
                <w:szCs w:val="18"/>
                <w:lang w:val="en-US"/>
              </w:rPr>
              <w:br/>
              <w:t>ended</w:t>
            </w:r>
            <w:r w:rsidR="00E35A0C">
              <w:rPr>
                <w:b/>
                <w:bCs/>
                <w:sz w:val="16"/>
                <w:szCs w:val="18"/>
                <w:lang w:val="en-US"/>
              </w:rPr>
              <w:br/>
              <w:t>30 June</w:t>
            </w:r>
          </w:p>
          <w:p w14:paraId="178FAEBB" w14:textId="77777777" w:rsidR="00E35A0C" w:rsidRDefault="00E35A0C"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7E2EECEF" w14:textId="77777777" w:rsidR="00D079C7" w:rsidRDefault="00D079C7" w:rsidP="00E35A0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37" w:type="pct"/>
            <w:vAlign w:val="bottom"/>
          </w:tcPr>
          <w:p w14:paraId="69448515" w14:textId="77777777" w:rsidR="00E35A0C" w:rsidRDefault="00E35A0C"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w:t>
            </w:r>
            <w:r>
              <w:rPr>
                <w:b/>
                <w:bCs/>
                <w:sz w:val="16"/>
                <w:szCs w:val="18"/>
                <w:lang w:val="en-US"/>
              </w:rPr>
              <w:br/>
              <w:t>ended</w:t>
            </w:r>
            <w:r>
              <w:rPr>
                <w:b/>
                <w:bCs/>
                <w:sz w:val="16"/>
                <w:szCs w:val="18"/>
                <w:lang w:val="en-US"/>
              </w:rPr>
              <w:br/>
              <w:t>31 December</w:t>
            </w:r>
            <w:r>
              <w:rPr>
                <w:b/>
                <w:bCs/>
                <w:sz w:val="16"/>
                <w:szCs w:val="18"/>
                <w:lang w:val="en-US"/>
              </w:rPr>
              <w:br/>
              <w:t>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04B26501" w14:textId="77777777" w:rsidR="00D079C7" w:rsidRPr="00D079C7" w:rsidRDefault="00D079C7"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D079C7">
              <w:rPr>
                <w:b/>
                <w:bCs/>
                <w:sz w:val="16"/>
                <w:szCs w:val="18"/>
                <w:lang w:val="en-US"/>
              </w:rPr>
              <w:t>Audited</w:t>
            </w:r>
          </w:p>
        </w:tc>
      </w:tr>
      <w:tr w:rsidR="00374BA5" w:rsidRPr="002F3885" w14:paraId="2D2C0E49" w14:textId="77777777" w:rsidTr="00B511F4">
        <w:trPr>
          <w:cantSplit/>
          <w:trHeight w:val="258"/>
          <w:jc w:val="center"/>
        </w:trPr>
        <w:tc>
          <w:tcPr>
            <w:tcW w:w="3086" w:type="pct"/>
          </w:tcPr>
          <w:p w14:paraId="1423A923" w14:textId="77777777" w:rsidR="00374BA5" w:rsidRPr="002F3885" w:rsidRDefault="00374BA5" w:rsidP="009E7D9B">
            <w:pPr>
              <w:widowControl/>
              <w:tabs>
                <w:tab w:val="right" w:leader="dot" w:pos="4540"/>
              </w:tabs>
              <w:suppressAutoHyphens/>
              <w:ind w:left="200" w:hanging="200"/>
              <w:rPr>
                <w:lang w:val="en-US"/>
              </w:rPr>
            </w:pPr>
            <w:r>
              <w:rPr>
                <w:lang w:val="en-US"/>
              </w:rPr>
              <w:t>Compensation for loss of office, redundancy and compromise costs, together with associated legal expenses</w:t>
            </w:r>
            <w:r w:rsidRPr="002F3885">
              <w:rPr>
                <w:lang w:val="en-US"/>
              </w:rPr>
              <w:tab/>
            </w:r>
          </w:p>
        </w:tc>
        <w:tc>
          <w:tcPr>
            <w:tcW w:w="638" w:type="pct"/>
            <w:vAlign w:val="bottom"/>
          </w:tcPr>
          <w:p w14:paraId="371C6581" w14:textId="77777777" w:rsidR="00374BA5" w:rsidRDefault="00F3025B"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175</w:t>
            </w:r>
          </w:p>
        </w:tc>
        <w:tc>
          <w:tcPr>
            <w:tcW w:w="638" w:type="pct"/>
            <w:vAlign w:val="bottom"/>
          </w:tcPr>
          <w:p w14:paraId="576ECBC5" w14:textId="77777777" w:rsidR="00374BA5" w:rsidRDefault="00374BA5" w:rsidP="00374BA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29</w:t>
            </w:r>
          </w:p>
        </w:tc>
        <w:tc>
          <w:tcPr>
            <w:tcW w:w="637" w:type="pct"/>
            <w:vAlign w:val="bottom"/>
          </w:tcPr>
          <w:p w14:paraId="508C3076" w14:textId="77777777" w:rsidR="00374BA5" w:rsidRPr="002F3885" w:rsidRDefault="00374BA5"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67</w:t>
            </w:r>
          </w:p>
        </w:tc>
      </w:tr>
      <w:tr w:rsidR="00374BA5" w:rsidRPr="002F3885" w14:paraId="6CC765A0" w14:textId="77777777" w:rsidTr="00B511F4">
        <w:trPr>
          <w:cantSplit/>
          <w:trHeight w:val="303"/>
          <w:jc w:val="center"/>
        </w:trPr>
        <w:tc>
          <w:tcPr>
            <w:tcW w:w="3086" w:type="pct"/>
          </w:tcPr>
          <w:p w14:paraId="0E2CE42F" w14:textId="77777777" w:rsidR="00374BA5" w:rsidRPr="002F3885" w:rsidRDefault="00374BA5" w:rsidP="00E010B8">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638" w:type="pct"/>
            <w:vAlign w:val="bottom"/>
          </w:tcPr>
          <w:p w14:paraId="6B3A947F" w14:textId="77777777" w:rsidR="00374BA5" w:rsidRDefault="00F3025B" w:rsidP="00E010B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175</w:t>
            </w:r>
          </w:p>
        </w:tc>
        <w:tc>
          <w:tcPr>
            <w:tcW w:w="638" w:type="pct"/>
            <w:vAlign w:val="bottom"/>
          </w:tcPr>
          <w:p w14:paraId="415FB988" w14:textId="77777777" w:rsidR="00374BA5" w:rsidRDefault="00374BA5"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29</w:t>
            </w:r>
          </w:p>
        </w:tc>
        <w:tc>
          <w:tcPr>
            <w:tcW w:w="637" w:type="pct"/>
            <w:vAlign w:val="bottom"/>
          </w:tcPr>
          <w:p w14:paraId="105D77BE" w14:textId="77777777" w:rsidR="00374BA5" w:rsidRPr="002F3885" w:rsidRDefault="00374BA5" w:rsidP="00E010B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67</w:t>
            </w:r>
          </w:p>
        </w:tc>
      </w:tr>
    </w:tbl>
    <w:p w14:paraId="38928E68" w14:textId="77777777" w:rsidR="00E33FD0" w:rsidRDefault="00E33FD0" w:rsidP="009D1134">
      <w:pPr>
        <w:widowControl/>
        <w:tabs>
          <w:tab w:val="left" w:pos="-720"/>
          <w:tab w:val="left" w:pos="0"/>
        </w:tabs>
        <w:suppressAutoHyphens/>
        <w:spacing w:before="240" w:after="240"/>
        <w:ind w:left="720" w:hanging="720"/>
        <w:jc w:val="both"/>
        <w:rPr>
          <w:b/>
          <w:bCs/>
          <w:lang w:val="en-US"/>
        </w:rPr>
      </w:pPr>
    </w:p>
    <w:p w14:paraId="696DF92E" w14:textId="77777777" w:rsidR="00E33FD0" w:rsidRDefault="00E33FD0">
      <w:pPr>
        <w:widowControl/>
        <w:autoSpaceDE/>
        <w:autoSpaceDN/>
        <w:adjustRightInd/>
        <w:rPr>
          <w:b/>
          <w:bCs/>
          <w:lang w:val="en-US"/>
        </w:rPr>
      </w:pPr>
      <w:r>
        <w:rPr>
          <w:b/>
          <w:bCs/>
          <w:lang w:val="en-US"/>
        </w:rPr>
        <w:br w:type="page"/>
      </w:r>
    </w:p>
    <w:p w14:paraId="3AFD4BE7" w14:textId="77777777" w:rsidR="00E33FD0" w:rsidRPr="002F3885" w:rsidRDefault="00E33FD0" w:rsidP="00E33FD0">
      <w:pPr>
        <w:widowControl/>
        <w:autoSpaceDE/>
        <w:autoSpaceDN/>
        <w:adjustRightInd/>
        <w:rPr>
          <w:lang w:val="en-US"/>
        </w:rPr>
      </w:pPr>
    </w:p>
    <w:p w14:paraId="2255AFDE" w14:textId="77777777" w:rsidR="00E33FD0" w:rsidRDefault="00E33FD0" w:rsidP="00E33FD0">
      <w:pPr>
        <w:widowControl/>
        <w:autoSpaceDE/>
        <w:autoSpaceDN/>
        <w:adjustRightInd/>
        <w:jc w:val="center"/>
        <w:rPr>
          <w:b/>
          <w:bCs/>
          <w:sz w:val="24"/>
          <w:szCs w:val="24"/>
          <w:lang w:val="en-US"/>
        </w:rPr>
      </w:pPr>
      <w:r w:rsidRPr="00221793">
        <w:rPr>
          <w:b/>
          <w:bCs/>
          <w:sz w:val="24"/>
          <w:szCs w:val="24"/>
          <w:lang w:val="en-US"/>
        </w:rPr>
        <w:t>GameAccount Network Plc</w:t>
      </w:r>
    </w:p>
    <w:p w14:paraId="4C488E0C" w14:textId="77777777" w:rsidR="00E33FD0" w:rsidRPr="00221793" w:rsidRDefault="00E33FD0" w:rsidP="00E33FD0">
      <w:pPr>
        <w:widowControl/>
        <w:autoSpaceDE/>
        <w:autoSpaceDN/>
        <w:adjustRightInd/>
        <w:jc w:val="center"/>
        <w:rPr>
          <w:b/>
          <w:bCs/>
          <w:sz w:val="24"/>
          <w:szCs w:val="24"/>
          <w:lang w:val="en-US"/>
        </w:rPr>
      </w:pPr>
    </w:p>
    <w:p w14:paraId="167E3742" w14:textId="77777777" w:rsidR="00E33FD0" w:rsidRPr="00221793" w:rsidRDefault="00E33FD0" w:rsidP="00E33FD0">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Pr>
          <w:b/>
          <w:bCs/>
          <w:sz w:val="24"/>
          <w:szCs w:val="24"/>
          <w:lang w:val="en-US"/>
        </w:rPr>
        <w:t>period</w:t>
      </w:r>
      <w:r w:rsidRPr="00221793">
        <w:rPr>
          <w:b/>
          <w:bCs/>
          <w:sz w:val="24"/>
          <w:szCs w:val="24"/>
          <w:lang w:val="en-US"/>
        </w:rPr>
        <w:t xml:space="preserve"> ended </w:t>
      </w:r>
      <w:r>
        <w:rPr>
          <w:b/>
          <w:bCs/>
          <w:sz w:val="24"/>
          <w:szCs w:val="24"/>
          <w:lang w:val="en-US"/>
        </w:rPr>
        <w:t>30 June 2015</w:t>
      </w:r>
    </w:p>
    <w:p w14:paraId="031A8ABD" w14:textId="77777777" w:rsidR="00E33FD0" w:rsidRPr="002B3A13" w:rsidRDefault="00E33FD0" w:rsidP="00E33FD0">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Notes to the financial statements</w:t>
      </w:r>
      <w:r>
        <w:rPr>
          <w:b/>
          <w:bCs/>
          <w:sz w:val="24"/>
          <w:szCs w:val="24"/>
          <w:lang w:val="en-US"/>
        </w:rPr>
        <w:t xml:space="preserve"> </w:t>
      </w:r>
      <w:r w:rsidRPr="000E5FB8">
        <w:rPr>
          <w:b/>
          <w:bCs/>
          <w:i/>
          <w:sz w:val="24"/>
          <w:szCs w:val="24"/>
          <w:lang w:val="en-US"/>
        </w:rPr>
        <w:t>(continued)</w:t>
      </w:r>
    </w:p>
    <w:p w14:paraId="2C492B22" w14:textId="77777777" w:rsidR="00E33FD0" w:rsidRPr="002F3885" w:rsidRDefault="00E33FD0" w:rsidP="00E33FD0">
      <w:pPr>
        <w:widowControl/>
        <w:tabs>
          <w:tab w:val="left" w:pos="-720"/>
        </w:tabs>
        <w:suppressAutoHyphens/>
        <w:spacing w:after="240"/>
        <w:jc w:val="both"/>
        <w:rPr>
          <w:lang w:val="en-US"/>
        </w:rPr>
      </w:pPr>
    </w:p>
    <w:p w14:paraId="0E089338" w14:textId="77777777" w:rsidR="009D1134" w:rsidRPr="002F3885" w:rsidRDefault="00195074" w:rsidP="009D1134">
      <w:pPr>
        <w:widowControl/>
        <w:tabs>
          <w:tab w:val="left" w:pos="-720"/>
          <w:tab w:val="left" w:pos="0"/>
        </w:tabs>
        <w:suppressAutoHyphens/>
        <w:spacing w:before="240" w:after="240"/>
        <w:ind w:left="720" w:hanging="720"/>
        <w:jc w:val="both"/>
        <w:rPr>
          <w:lang w:val="en-US"/>
        </w:rPr>
      </w:pPr>
      <w:r>
        <w:rPr>
          <w:b/>
          <w:bCs/>
          <w:lang w:val="en-US"/>
        </w:rPr>
        <w:t>6</w:t>
      </w:r>
      <w:r w:rsidR="009D1134" w:rsidRPr="002F3885">
        <w:rPr>
          <w:b/>
          <w:bCs/>
          <w:lang w:val="en-US"/>
        </w:rPr>
        <w:t>.</w:t>
      </w:r>
      <w:r w:rsidR="009D1134" w:rsidRPr="002F3885">
        <w:rPr>
          <w:b/>
          <w:bCs/>
          <w:lang w:val="en-US"/>
        </w:rPr>
        <w:tab/>
        <w:t>Trade and other receivables</w:t>
      </w:r>
    </w:p>
    <w:tbl>
      <w:tblPr>
        <w:tblW w:w="5000" w:type="pct"/>
        <w:jc w:val="center"/>
        <w:tblCellMar>
          <w:left w:w="72" w:type="dxa"/>
          <w:right w:w="72" w:type="dxa"/>
        </w:tblCellMar>
        <w:tblLook w:val="0000" w:firstRow="0" w:lastRow="0" w:firstColumn="0" w:lastColumn="0" w:noHBand="0" w:noVBand="0"/>
      </w:tblPr>
      <w:tblGrid>
        <w:gridCol w:w="6362"/>
        <w:gridCol w:w="1142"/>
        <w:gridCol w:w="1091"/>
        <w:gridCol w:w="1047"/>
      </w:tblGrid>
      <w:tr w:rsidR="00202E1C" w:rsidRPr="002F3885" w14:paraId="24083687" w14:textId="77777777">
        <w:trPr>
          <w:cantSplit/>
          <w:trHeight w:val="1419"/>
          <w:jc w:val="center"/>
        </w:trPr>
        <w:tc>
          <w:tcPr>
            <w:tcW w:w="3299" w:type="pct"/>
            <w:vAlign w:val="bottom"/>
          </w:tcPr>
          <w:p w14:paraId="7A0489FB" w14:textId="77777777" w:rsidR="00202E1C" w:rsidRPr="002F3885" w:rsidRDefault="00202E1C"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592" w:type="pct"/>
            <w:vAlign w:val="bottom"/>
          </w:tcPr>
          <w:p w14:paraId="1B2E5CB2" w14:textId="77777777" w:rsidR="00202E1C" w:rsidRDefault="00202E1C"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w:t>
            </w:r>
            <w:r>
              <w:rPr>
                <w:b/>
                <w:bCs/>
                <w:sz w:val="16"/>
                <w:szCs w:val="18"/>
                <w:lang w:val="en-US"/>
              </w:rPr>
              <w:br/>
              <w:t>30 June</w:t>
            </w:r>
            <w:r>
              <w:rPr>
                <w:b/>
                <w:bCs/>
                <w:sz w:val="16"/>
                <w:szCs w:val="18"/>
                <w:lang w:val="en-US"/>
              </w:rPr>
              <w:br/>
              <w:t>201</w:t>
            </w:r>
            <w:r w:rsidR="00B511F4">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5CA6CB8A" w14:textId="77777777" w:rsidR="00D079C7" w:rsidRPr="002F3885" w:rsidRDefault="00D079C7"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Unaudited</w:t>
            </w:r>
          </w:p>
        </w:tc>
        <w:tc>
          <w:tcPr>
            <w:tcW w:w="566" w:type="pct"/>
            <w:vAlign w:val="bottom"/>
          </w:tcPr>
          <w:p w14:paraId="05DB53CA" w14:textId="77777777" w:rsidR="00202E1C" w:rsidRDefault="00202E1C" w:rsidP="00192F6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 xml:space="preserve">At </w:t>
            </w:r>
          </w:p>
          <w:p w14:paraId="4A2A1A04" w14:textId="77777777" w:rsidR="00202E1C" w:rsidRDefault="00202E1C" w:rsidP="00192F6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30 June</w:t>
            </w:r>
            <w:r>
              <w:rPr>
                <w:b/>
                <w:bCs/>
                <w:sz w:val="16"/>
                <w:szCs w:val="18"/>
                <w:lang w:val="en-US"/>
              </w:rPr>
              <w:br/>
              <w:t>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4C34D6AE" w14:textId="77777777" w:rsidR="00D079C7" w:rsidRPr="002F3885" w:rsidRDefault="00D079C7" w:rsidP="00192F6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Unaudited</w:t>
            </w:r>
          </w:p>
        </w:tc>
        <w:tc>
          <w:tcPr>
            <w:tcW w:w="543" w:type="pct"/>
            <w:vAlign w:val="bottom"/>
          </w:tcPr>
          <w:p w14:paraId="221CB923" w14:textId="77777777" w:rsidR="00202E1C" w:rsidRDefault="00202E1C" w:rsidP="007501E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w:t>
            </w:r>
            <w:r>
              <w:rPr>
                <w:b/>
                <w:bCs/>
                <w:sz w:val="16"/>
                <w:szCs w:val="18"/>
                <w:lang w:val="en-US"/>
              </w:rPr>
              <w:br/>
              <w:t>31 December</w:t>
            </w:r>
            <w:r>
              <w:rPr>
                <w:b/>
                <w:bCs/>
                <w:sz w:val="16"/>
                <w:szCs w:val="18"/>
                <w:lang w:val="en-US"/>
              </w:rPr>
              <w:br/>
              <w:t>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42F74B15" w14:textId="77777777" w:rsidR="00D079C7" w:rsidRDefault="00D079C7" w:rsidP="007501E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D079C7">
              <w:rPr>
                <w:b/>
                <w:bCs/>
                <w:sz w:val="16"/>
                <w:szCs w:val="18"/>
                <w:lang w:val="en-US"/>
              </w:rPr>
              <w:t>Audited</w:t>
            </w:r>
          </w:p>
        </w:tc>
      </w:tr>
      <w:tr w:rsidR="00B511F4" w:rsidRPr="002F3885" w14:paraId="3A16417B" w14:textId="77777777">
        <w:trPr>
          <w:cantSplit/>
          <w:trHeight w:val="294"/>
          <w:jc w:val="center"/>
        </w:trPr>
        <w:tc>
          <w:tcPr>
            <w:tcW w:w="3299" w:type="pct"/>
          </w:tcPr>
          <w:p w14:paraId="6A20A0F9" w14:textId="77777777" w:rsidR="00B511F4" w:rsidRPr="002F3885" w:rsidRDefault="00B511F4" w:rsidP="009D1134">
            <w:pPr>
              <w:widowControl/>
              <w:tabs>
                <w:tab w:val="right" w:leader="dot" w:pos="4540"/>
              </w:tabs>
              <w:suppressAutoHyphens/>
              <w:ind w:left="200" w:hanging="200"/>
              <w:rPr>
                <w:lang w:val="en-US"/>
              </w:rPr>
            </w:pPr>
            <w:r w:rsidRPr="002F3885">
              <w:rPr>
                <w:lang w:val="en-US"/>
              </w:rPr>
              <w:t>Trade receivables</w:t>
            </w:r>
            <w:r w:rsidRPr="002F3885">
              <w:rPr>
                <w:lang w:val="en-US"/>
              </w:rPr>
              <w:tab/>
            </w:r>
          </w:p>
        </w:tc>
        <w:tc>
          <w:tcPr>
            <w:tcW w:w="592" w:type="pct"/>
            <w:vAlign w:val="bottom"/>
          </w:tcPr>
          <w:p w14:paraId="00CC58B0" w14:textId="77777777" w:rsidR="00B511F4" w:rsidRPr="002F3885" w:rsidRDefault="00F3025B" w:rsidP="00AA372C">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1,122</w:t>
            </w:r>
          </w:p>
        </w:tc>
        <w:tc>
          <w:tcPr>
            <w:tcW w:w="566" w:type="pct"/>
            <w:vAlign w:val="bottom"/>
          </w:tcPr>
          <w:p w14:paraId="3A72FE74"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1,942</w:t>
            </w:r>
          </w:p>
        </w:tc>
        <w:tc>
          <w:tcPr>
            <w:tcW w:w="543" w:type="pct"/>
            <w:vAlign w:val="bottom"/>
          </w:tcPr>
          <w:p w14:paraId="6898698D" w14:textId="77777777" w:rsidR="00B511F4" w:rsidRPr="002F3885" w:rsidRDefault="00374BA5"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1,501</w:t>
            </w:r>
          </w:p>
        </w:tc>
      </w:tr>
      <w:tr w:rsidR="00B511F4" w:rsidRPr="002F3885" w14:paraId="63DE6C63" w14:textId="77777777">
        <w:trPr>
          <w:cantSplit/>
          <w:trHeight w:val="277"/>
          <w:jc w:val="center"/>
        </w:trPr>
        <w:tc>
          <w:tcPr>
            <w:tcW w:w="3299" w:type="pct"/>
          </w:tcPr>
          <w:p w14:paraId="02DADDCF" w14:textId="77777777" w:rsidR="00B511F4" w:rsidRPr="002F3885" w:rsidRDefault="00B511F4" w:rsidP="009D1134">
            <w:pPr>
              <w:widowControl/>
              <w:tabs>
                <w:tab w:val="right" w:leader="dot" w:pos="4540"/>
              </w:tabs>
              <w:suppressAutoHyphens/>
              <w:ind w:left="200" w:hanging="200"/>
              <w:rPr>
                <w:lang w:val="en-US"/>
              </w:rPr>
            </w:pPr>
            <w:r w:rsidRPr="002F3885">
              <w:rPr>
                <w:lang w:val="en-US"/>
              </w:rPr>
              <w:t>Other receivables</w:t>
            </w:r>
            <w:r w:rsidRPr="002F3885">
              <w:rPr>
                <w:lang w:val="en-US"/>
              </w:rPr>
              <w:tab/>
            </w:r>
          </w:p>
        </w:tc>
        <w:tc>
          <w:tcPr>
            <w:tcW w:w="592" w:type="pct"/>
            <w:vAlign w:val="bottom"/>
          </w:tcPr>
          <w:p w14:paraId="217C04AD" w14:textId="77777777" w:rsidR="00B511F4" w:rsidRPr="002F3885" w:rsidRDefault="00F3025B" w:rsidP="00FD1E4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w:t>
            </w:r>
            <w:r w:rsidR="00FD1E40">
              <w:rPr>
                <w:lang w:val="en-US"/>
              </w:rPr>
              <w:t>60</w:t>
            </w:r>
          </w:p>
        </w:tc>
        <w:tc>
          <w:tcPr>
            <w:tcW w:w="566" w:type="pct"/>
            <w:vAlign w:val="bottom"/>
          </w:tcPr>
          <w:p w14:paraId="2DCC165A"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264</w:t>
            </w:r>
          </w:p>
        </w:tc>
        <w:tc>
          <w:tcPr>
            <w:tcW w:w="543" w:type="pct"/>
            <w:vAlign w:val="bottom"/>
          </w:tcPr>
          <w:p w14:paraId="09823957" w14:textId="77777777" w:rsidR="00B511F4" w:rsidRPr="002F3885" w:rsidRDefault="00374BA5"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700</w:t>
            </w:r>
          </w:p>
        </w:tc>
      </w:tr>
      <w:tr w:rsidR="00B511F4" w:rsidRPr="002F3885" w14:paraId="0EFD218F" w14:textId="77777777">
        <w:trPr>
          <w:cantSplit/>
          <w:trHeight w:val="277"/>
          <w:jc w:val="center"/>
        </w:trPr>
        <w:tc>
          <w:tcPr>
            <w:tcW w:w="3299" w:type="pct"/>
          </w:tcPr>
          <w:p w14:paraId="66F0EB21" w14:textId="77777777" w:rsidR="00B511F4" w:rsidRPr="002F3885" w:rsidRDefault="00B511F4" w:rsidP="009D1134">
            <w:pPr>
              <w:widowControl/>
              <w:tabs>
                <w:tab w:val="right" w:leader="dot" w:pos="4540"/>
              </w:tabs>
              <w:suppressAutoHyphens/>
              <w:ind w:left="200" w:hanging="200"/>
              <w:rPr>
                <w:lang w:val="en-US"/>
              </w:rPr>
            </w:pPr>
            <w:r w:rsidRPr="002F3885">
              <w:rPr>
                <w:lang w:val="en-US"/>
              </w:rPr>
              <w:t>Prepayments and accrued income</w:t>
            </w:r>
            <w:r w:rsidRPr="002F3885">
              <w:rPr>
                <w:lang w:val="en-US"/>
              </w:rPr>
              <w:tab/>
            </w:r>
          </w:p>
        </w:tc>
        <w:tc>
          <w:tcPr>
            <w:tcW w:w="592" w:type="pct"/>
            <w:vAlign w:val="bottom"/>
          </w:tcPr>
          <w:p w14:paraId="437930AC" w14:textId="77777777" w:rsidR="00B511F4" w:rsidRPr="002F3885" w:rsidRDefault="00F3025B" w:rsidP="00FD1E40">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8</w:t>
            </w:r>
            <w:r w:rsidR="00FD1E40">
              <w:rPr>
                <w:lang w:val="en-US"/>
              </w:rPr>
              <w:t>07</w:t>
            </w:r>
          </w:p>
        </w:tc>
        <w:tc>
          <w:tcPr>
            <w:tcW w:w="566" w:type="pct"/>
            <w:vAlign w:val="bottom"/>
          </w:tcPr>
          <w:p w14:paraId="1B4D0E9A"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1,232</w:t>
            </w:r>
          </w:p>
        </w:tc>
        <w:tc>
          <w:tcPr>
            <w:tcW w:w="543" w:type="pct"/>
            <w:vAlign w:val="bottom"/>
          </w:tcPr>
          <w:p w14:paraId="7635F4CC" w14:textId="77777777" w:rsidR="00B511F4" w:rsidRPr="002F3885" w:rsidRDefault="00374BA5" w:rsidP="002D7268">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622</w:t>
            </w:r>
          </w:p>
        </w:tc>
      </w:tr>
      <w:tr w:rsidR="00B511F4" w:rsidRPr="002F3885" w14:paraId="22A546B9" w14:textId="77777777">
        <w:trPr>
          <w:cantSplit/>
          <w:trHeight w:val="331"/>
          <w:jc w:val="center"/>
        </w:trPr>
        <w:tc>
          <w:tcPr>
            <w:tcW w:w="3299" w:type="pct"/>
          </w:tcPr>
          <w:p w14:paraId="1FFD30B6" w14:textId="77777777" w:rsidR="00B511F4" w:rsidRPr="002F3885" w:rsidRDefault="00B511F4" w:rsidP="00E71649">
            <w:pPr>
              <w:widowControl/>
              <w:tabs>
                <w:tab w:val="right" w:leader="dot" w:pos="4540"/>
              </w:tabs>
              <w:suppressAutoHyphens/>
              <w:spacing w:after="20"/>
              <w:ind w:left="200" w:hanging="200"/>
              <w:rPr>
                <w:lang w:val="en-US"/>
              </w:rPr>
            </w:pPr>
            <w:r>
              <w:rPr>
                <w:lang w:val="en-US"/>
              </w:rPr>
              <w:t>Corporation tax receivable</w:t>
            </w:r>
            <w:r w:rsidRPr="002F3885">
              <w:rPr>
                <w:lang w:val="en-US"/>
              </w:rPr>
              <w:tab/>
            </w:r>
          </w:p>
        </w:tc>
        <w:tc>
          <w:tcPr>
            <w:tcW w:w="592" w:type="pct"/>
            <w:vAlign w:val="bottom"/>
          </w:tcPr>
          <w:p w14:paraId="4F426DB7" w14:textId="77777777" w:rsidR="00B511F4" w:rsidRPr="002F3885" w:rsidRDefault="00F3025B"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c>
          <w:tcPr>
            <w:tcW w:w="566" w:type="pct"/>
            <w:vAlign w:val="bottom"/>
          </w:tcPr>
          <w:p w14:paraId="4277D6C7" w14:textId="77777777" w:rsidR="00B511F4" w:rsidRPr="002F3885" w:rsidRDefault="00B511F4"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46</w:t>
            </w:r>
          </w:p>
        </w:tc>
        <w:tc>
          <w:tcPr>
            <w:tcW w:w="543" w:type="pct"/>
            <w:vAlign w:val="bottom"/>
          </w:tcPr>
          <w:p w14:paraId="0A776D35" w14:textId="77777777" w:rsidR="00B511F4" w:rsidRDefault="00374BA5"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w:t>
            </w:r>
          </w:p>
        </w:tc>
      </w:tr>
      <w:tr w:rsidR="00B511F4" w:rsidRPr="002F3885" w14:paraId="29B4CBE6" w14:textId="77777777">
        <w:trPr>
          <w:cantSplit/>
          <w:trHeight w:val="368"/>
          <w:jc w:val="center"/>
        </w:trPr>
        <w:tc>
          <w:tcPr>
            <w:tcW w:w="3299" w:type="pct"/>
          </w:tcPr>
          <w:p w14:paraId="3996F116" w14:textId="77777777" w:rsidR="00B511F4" w:rsidRPr="002F3885" w:rsidRDefault="00B511F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592" w:type="pct"/>
            <w:vAlign w:val="bottom"/>
          </w:tcPr>
          <w:p w14:paraId="6EABB693" w14:textId="77777777" w:rsidR="00B511F4" w:rsidRPr="002F3885" w:rsidRDefault="00F3025B" w:rsidP="00FD1E40">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2,5</w:t>
            </w:r>
            <w:r w:rsidR="00FD1E40">
              <w:rPr>
                <w:lang w:val="en-US"/>
              </w:rPr>
              <w:t>89</w:t>
            </w:r>
          </w:p>
        </w:tc>
        <w:tc>
          <w:tcPr>
            <w:tcW w:w="566" w:type="pct"/>
            <w:vAlign w:val="bottom"/>
          </w:tcPr>
          <w:p w14:paraId="4C882096" w14:textId="77777777" w:rsidR="00B511F4" w:rsidRPr="002F3885" w:rsidRDefault="00B511F4"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3,484</w:t>
            </w:r>
          </w:p>
        </w:tc>
        <w:tc>
          <w:tcPr>
            <w:tcW w:w="543" w:type="pct"/>
            <w:vAlign w:val="bottom"/>
          </w:tcPr>
          <w:p w14:paraId="1D56E5A6" w14:textId="77777777" w:rsidR="00B511F4" w:rsidRPr="002F3885" w:rsidRDefault="00374BA5" w:rsidP="002D7268">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2,823</w:t>
            </w:r>
          </w:p>
        </w:tc>
      </w:tr>
    </w:tbl>
    <w:p w14:paraId="17FF120B" w14:textId="77777777" w:rsidR="00DC09D5" w:rsidRDefault="009D1134" w:rsidP="002A5168">
      <w:pPr>
        <w:widowControl/>
        <w:tabs>
          <w:tab w:val="left" w:pos="-720"/>
        </w:tabs>
        <w:suppressAutoHyphens/>
        <w:spacing w:before="240" w:after="240"/>
        <w:jc w:val="both"/>
        <w:rPr>
          <w:lang w:val="en-US"/>
        </w:rPr>
      </w:pPr>
      <w:r w:rsidRPr="002F3885">
        <w:rPr>
          <w:lang w:val="en-US"/>
        </w:rPr>
        <w:t>Other receivables include amounts due from payment servic</w:t>
      </w:r>
      <w:r w:rsidR="00B80A1D">
        <w:rPr>
          <w:lang w:val="en-US"/>
        </w:rPr>
        <w:t>e providers and VAT recoverable</w:t>
      </w:r>
    </w:p>
    <w:p w14:paraId="2F640185" w14:textId="77777777" w:rsidR="002B3A13" w:rsidRDefault="002B3A13">
      <w:pPr>
        <w:widowControl/>
        <w:autoSpaceDE/>
        <w:autoSpaceDN/>
        <w:adjustRightInd/>
        <w:rPr>
          <w:b/>
          <w:bCs/>
          <w:lang w:val="en-US"/>
        </w:rPr>
      </w:pPr>
    </w:p>
    <w:p w14:paraId="2A9B16C5" w14:textId="77777777" w:rsidR="009D1134" w:rsidRPr="002F3885" w:rsidRDefault="00195074" w:rsidP="009D1134">
      <w:pPr>
        <w:widowControl/>
        <w:tabs>
          <w:tab w:val="left" w:pos="-720"/>
          <w:tab w:val="left" w:pos="0"/>
        </w:tabs>
        <w:suppressAutoHyphens/>
        <w:spacing w:after="240"/>
        <w:ind w:left="720" w:hanging="720"/>
        <w:jc w:val="both"/>
        <w:rPr>
          <w:lang w:val="en-US"/>
        </w:rPr>
      </w:pPr>
      <w:r>
        <w:rPr>
          <w:b/>
          <w:bCs/>
          <w:lang w:val="en-US"/>
        </w:rPr>
        <w:t>7</w:t>
      </w:r>
      <w:r w:rsidR="009D1134" w:rsidRPr="002F3885">
        <w:rPr>
          <w:b/>
          <w:bCs/>
          <w:lang w:val="en-US"/>
        </w:rPr>
        <w:t>.</w:t>
      </w:r>
      <w:r w:rsidR="009D1134" w:rsidRPr="002F3885">
        <w:rPr>
          <w:b/>
          <w:bCs/>
          <w:lang w:val="en-US"/>
        </w:rPr>
        <w:tab/>
        <w:t>Trade and other payables</w:t>
      </w:r>
    </w:p>
    <w:tbl>
      <w:tblPr>
        <w:tblW w:w="4955" w:type="pct"/>
        <w:jc w:val="center"/>
        <w:tblCellMar>
          <w:left w:w="72" w:type="dxa"/>
          <w:right w:w="72" w:type="dxa"/>
        </w:tblCellMar>
        <w:tblLook w:val="0000" w:firstRow="0" w:lastRow="0" w:firstColumn="0" w:lastColumn="0" w:noHBand="0" w:noVBand="0"/>
      </w:tblPr>
      <w:tblGrid>
        <w:gridCol w:w="5151"/>
        <w:gridCol w:w="1468"/>
        <w:gridCol w:w="1468"/>
        <w:gridCol w:w="1468"/>
      </w:tblGrid>
      <w:tr w:rsidR="00DC09D5" w:rsidRPr="002F3885" w14:paraId="3D77001B" w14:textId="77777777">
        <w:trPr>
          <w:cantSplit/>
          <w:trHeight w:val="960"/>
          <w:jc w:val="center"/>
        </w:trPr>
        <w:tc>
          <w:tcPr>
            <w:tcW w:w="2695" w:type="pct"/>
            <w:tcBorders>
              <w:top w:val="nil"/>
              <w:left w:val="nil"/>
              <w:bottom w:val="nil"/>
              <w:right w:val="nil"/>
            </w:tcBorders>
            <w:vAlign w:val="bottom"/>
          </w:tcPr>
          <w:p w14:paraId="1AC55A09" w14:textId="77777777" w:rsidR="00DC09D5" w:rsidRPr="002F3885" w:rsidRDefault="00DC09D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768" w:type="pct"/>
            <w:tcBorders>
              <w:top w:val="nil"/>
              <w:left w:val="nil"/>
              <w:bottom w:val="nil"/>
              <w:right w:val="nil"/>
            </w:tcBorders>
            <w:vAlign w:val="bottom"/>
          </w:tcPr>
          <w:p w14:paraId="201BD646" w14:textId="77777777" w:rsidR="00202E1C" w:rsidRDefault="00DC09D5"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 xml:space="preserve">At </w:t>
            </w:r>
            <w:r w:rsidR="00523EEF">
              <w:rPr>
                <w:b/>
                <w:bCs/>
                <w:sz w:val="16"/>
                <w:szCs w:val="18"/>
                <w:lang w:val="en-US"/>
              </w:rPr>
              <w:t xml:space="preserve">30 June </w:t>
            </w:r>
          </w:p>
          <w:p w14:paraId="66F80E73" w14:textId="77777777" w:rsidR="00DC09D5" w:rsidRDefault="00523EEF"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201</w:t>
            </w:r>
            <w:r w:rsidR="00B511F4">
              <w:rPr>
                <w:b/>
                <w:bCs/>
                <w:sz w:val="16"/>
                <w:szCs w:val="18"/>
                <w:lang w:val="en-US"/>
              </w:rPr>
              <w:t>5</w:t>
            </w:r>
            <w:r w:rsidR="00DC09D5" w:rsidRPr="002F3885">
              <w:rPr>
                <w:b/>
                <w:bCs/>
                <w:sz w:val="16"/>
                <w:szCs w:val="18"/>
                <w:lang w:val="en-US"/>
              </w:rPr>
              <w:br/>
            </w:r>
            <w:r w:rsidR="00DC09D5">
              <w:rPr>
                <w:b/>
                <w:bCs/>
                <w:sz w:val="16"/>
                <w:szCs w:val="18"/>
                <w:lang w:val="en-US"/>
              </w:rPr>
              <w:t>£’</w:t>
            </w:r>
            <w:r w:rsidR="00DC09D5" w:rsidRPr="002F3885">
              <w:rPr>
                <w:b/>
                <w:bCs/>
                <w:sz w:val="16"/>
                <w:szCs w:val="18"/>
                <w:lang w:val="en-US"/>
              </w:rPr>
              <w:t>000</w:t>
            </w:r>
          </w:p>
          <w:p w14:paraId="554F3582" w14:textId="77777777" w:rsidR="00D079C7" w:rsidRPr="002F3885" w:rsidRDefault="00D079C7"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8"/>
                <w:szCs w:val="18"/>
                <w:lang w:val="en-US"/>
              </w:rPr>
              <w:t>Unaudited</w:t>
            </w:r>
          </w:p>
        </w:tc>
        <w:tc>
          <w:tcPr>
            <w:tcW w:w="768" w:type="pct"/>
            <w:tcBorders>
              <w:top w:val="nil"/>
              <w:left w:val="nil"/>
              <w:bottom w:val="nil"/>
              <w:right w:val="nil"/>
            </w:tcBorders>
            <w:vAlign w:val="bottom"/>
          </w:tcPr>
          <w:p w14:paraId="5AC48CFF" w14:textId="77777777" w:rsidR="00DC09D5" w:rsidRDefault="00DC09D5"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p>
          <w:p w14:paraId="41620B7F" w14:textId="77777777" w:rsidR="00202E1C" w:rsidRDefault="00202E1C"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 30 June</w:t>
            </w:r>
          </w:p>
          <w:p w14:paraId="695FE073" w14:textId="77777777" w:rsidR="00DC09D5" w:rsidRDefault="00202E1C"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 xml:space="preserve"> 201</w:t>
            </w:r>
            <w:r w:rsidR="00B511F4">
              <w:rPr>
                <w:b/>
                <w:bCs/>
                <w:sz w:val="16"/>
                <w:szCs w:val="18"/>
                <w:lang w:val="en-US"/>
              </w:rPr>
              <w:t>4</w:t>
            </w:r>
            <w:r w:rsidR="00DC09D5" w:rsidRPr="002F3885">
              <w:rPr>
                <w:b/>
                <w:bCs/>
                <w:sz w:val="16"/>
                <w:szCs w:val="18"/>
                <w:lang w:val="en-US"/>
              </w:rPr>
              <w:br/>
            </w:r>
            <w:r w:rsidR="00DC09D5">
              <w:rPr>
                <w:b/>
                <w:bCs/>
                <w:sz w:val="16"/>
                <w:szCs w:val="18"/>
                <w:lang w:val="en-US"/>
              </w:rPr>
              <w:t>£’</w:t>
            </w:r>
            <w:r w:rsidR="00DC09D5" w:rsidRPr="002F3885">
              <w:rPr>
                <w:b/>
                <w:bCs/>
                <w:sz w:val="16"/>
                <w:szCs w:val="18"/>
                <w:lang w:val="en-US"/>
              </w:rPr>
              <w:t>000</w:t>
            </w:r>
          </w:p>
          <w:p w14:paraId="1E328966" w14:textId="77777777" w:rsidR="00D079C7" w:rsidRPr="002F3885" w:rsidRDefault="00D079C7" w:rsidP="0005680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8"/>
                <w:szCs w:val="18"/>
                <w:lang w:val="en-US"/>
              </w:rPr>
              <w:t>Unaudited</w:t>
            </w:r>
          </w:p>
        </w:tc>
        <w:tc>
          <w:tcPr>
            <w:tcW w:w="768" w:type="pct"/>
            <w:tcBorders>
              <w:top w:val="nil"/>
              <w:left w:val="nil"/>
              <w:bottom w:val="nil"/>
              <w:right w:val="nil"/>
            </w:tcBorders>
            <w:vAlign w:val="bottom"/>
          </w:tcPr>
          <w:p w14:paraId="13CDDDEE" w14:textId="77777777" w:rsidR="00DC09D5" w:rsidRDefault="00DC09D5" w:rsidP="002D726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p>
          <w:p w14:paraId="5BC7BF10" w14:textId="77777777" w:rsidR="00DC09D5" w:rsidRDefault="00DC09D5"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2F3885">
              <w:rPr>
                <w:b/>
                <w:bCs/>
                <w:sz w:val="16"/>
                <w:szCs w:val="18"/>
                <w:lang w:val="en-US"/>
              </w:rPr>
              <w:t>At 31 </w:t>
            </w:r>
            <w:r>
              <w:rPr>
                <w:b/>
                <w:bCs/>
                <w:sz w:val="16"/>
                <w:szCs w:val="18"/>
                <w:lang w:val="en-US"/>
              </w:rPr>
              <w:t>December 201</w:t>
            </w:r>
            <w:r w:rsidR="00B511F4">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18F9AD38" w14:textId="77777777" w:rsidR="00D079C7" w:rsidRPr="002F3885" w:rsidRDefault="00D079C7"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sidRPr="00D079C7">
              <w:rPr>
                <w:b/>
                <w:bCs/>
                <w:sz w:val="16"/>
                <w:szCs w:val="18"/>
                <w:lang w:val="en-US"/>
              </w:rPr>
              <w:t>Audited</w:t>
            </w:r>
          </w:p>
        </w:tc>
      </w:tr>
      <w:tr w:rsidR="00DC09D5" w:rsidRPr="002F3885" w14:paraId="4F8C7068" w14:textId="77777777">
        <w:trPr>
          <w:cantSplit/>
          <w:trHeight w:val="222"/>
          <w:jc w:val="center"/>
        </w:trPr>
        <w:tc>
          <w:tcPr>
            <w:tcW w:w="2695" w:type="pct"/>
            <w:tcBorders>
              <w:top w:val="nil"/>
              <w:left w:val="nil"/>
              <w:bottom w:val="nil"/>
              <w:right w:val="nil"/>
            </w:tcBorders>
          </w:tcPr>
          <w:p w14:paraId="194BDF95" w14:textId="77777777" w:rsidR="00DC09D5" w:rsidRPr="002F3885" w:rsidRDefault="00DC09D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lang w:val="en-US"/>
              </w:rPr>
            </w:pPr>
            <w:r w:rsidRPr="002F3885">
              <w:rPr>
                <w:lang w:val="en-US"/>
              </w:rPr>
              <w:t>Amounts falling due within one year</w:t>
            </w:r>
          </w:p>
        </w:tc>
        <w:tc>
          <w:tcPr>
            <w:tcW w:w="768" w:type="pct"/>
            <w:tcBorders>
              <w:top w:val="nil"/>
              <w:left w:val="nil"/>
              <w:bottom w:val="nil"/>
              <w:right w:val="nil"/>
            </w:tcBorders>
            <w:vAlign w:val="bottom"/>
          </w:tcPr>
          <w:p w14:paraId="0ECD0D75" w14:textId="77777777" w:rsidR="00DC09D5" w:rsidRPr="002F3885" w:rsidRDefault="00DC09D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68" w:type="pct"/>
            <w:tcBorders>
              <w:top w:val="nil"/>
              <w:left w:val="nil"/>
              <w:bottom w:val="nil"/>
              <w:right w:val="nil"/>
            </w:tcBorders>
            <w:vAlign w:val="bottom"/>
          </w:tcPr>
          <w:p w14:paraId="6B89E910" w14:textId="77777777" w:rsidR="00DC09D5" w:rsidRPr="002F3885" w:rsidRDefault="00DC09D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c>
          <w:tcPr>
            <w:tcW w:w="768" w:type="pct"/>
            <w:tcBorders>
              <w:top w:val="nil"/>
              <w:left w:val="nil"/>
              <w:bottom w:val="nil"/>
              <w:right w:val="nil"/>
            </w:tcBorders>
          </w:tcPr>
          <w:p w14:paraId="24BF076C" w14:textId="77777777" w:rsidR="00DC09D5" w:rsidRPr="002F3885" w:rsidRDefault="00DC09D5"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p>
        </w:tc>
      </w:tr>
      <w:tr w:rsidR="00B511F4" w:rsidRPr="002F3885" w14:paraId="19049722" w14:textId="77777777">
        <w:trPr>
          <w:cantSplit/>
          <w:trHeight w:val="236"/>
          <w:jc w:val="center"/>
        </w:trPr>
        <w:tc>
          <w:tcPr>
            <w:tcW w:w="2695" w:type="pct"/>
            <w:tcBorders>
              <w:top w:val="nil"/>
              <w:left w:val="nil"/>
              <w:bottom w:val="nil"/>
              <w:right w:val="nil"/>
            </w:tcBorders>
          </w:tcPr>
          <w:p w14:paraId="59C12C22" w14:textId="77777777" w:rsidR="00B511F4" w:rsidRPr="002F3885" w:rsidRDefault="00B511F4" w:rsidP="009D1134">
            <w:pPr>
              <w:widowControl/>
              <w:tabs>
                <w:tab w:val="right" w:leader="dot" w:pos="4540"/>
              </w:tabs>
              <w:suppressAutoHyphens/>
              <w:ind w:left="200" w:hanging="200"/>
              <w:rPr>
                <w:lang w:val="en-US"/>
              </w:rPr>
            </w:pPr>
            <w:r w:rsidRPr="002F3885">
              <w:rPr>
                <w:lang w:val="en-US"/>
              </w:rPr>
              <w:t>Trade payables</w:t>
            </w:r>
            <w:r w:rsidRPr="002F3885">
              <w:rPr>
                <w:lang w:val="en-US"/>
              </w:rPr>
              <w:tab/>
            </w:r>
          </w:p>
        </w:tc>
        <w:tc>
          <w:tcPr>
            <w:tcW w:w="768" w:type="pct"/>
            <w:tcBorders>
              <w:top w:val="nil"/>
              <w:left w:val="nil"/>
              <w:bottom w:val="nil"/>
              <w:right w:val="nil"/>
            </w:tcBorders>
            <w:vAlign w:val="bottom"/>
          </w:tcPr>
          <w:p w14:paraId="62C6F2D6" w14:textId="77777777" w:rsidR="00B511F4" w:rsidRPr="002F3885" w:rsidRDefault="00F3025B" w:rsidP="00056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2,172</w:t>
            </w:r>
          </w:p>
        </w:tc>
        <w:tc>
          <w:tcPr>
            <w:tcW w:w="768" w:type="pct"/>
            <w:tcBorders>
              <w:top w:val="nil"/>
              <w:left w:val="nil"/>
              <w:bottom w:val="nil"/>
              <w:right w:val="nil"/>
            </w:tcBorders>
            <w:vAlign w:val="bottom"/>
          </w:tcPr>
          <w:p w14:paraId="055ED775"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1,200</w:t>
            </w:r>
          </w:p>
        </w:tc>
        <w:tc>
          <w:tcPr>
            <w:tcW w:w="768" w:type="pct"/>
            <w:tcBorders>
              <w:top w:val="nil"/>
              <w:left w:val="nil"/>
              <w:bottom w:val="nil"/>
              <w:right w:val="nil"/>
            </w:tcBorders>
            <w:vAlign w:val="bottom"/>
          </w:tcPr>
          <w:p w14:paraId="227C6392" w14:textId="77777777" w:rsidR="00B511F4" w:rsidRPr="002F3885"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1,295</w:t>
            </w:r>
          </w:p>
        </w:tc>
      </w:tr>
      <w:tr w:rsidR="00B511F4" w:rsidRPr="002F3885" w14:paraId="0AA890B6" w14:textId="77777777">
        <w:trPr>
          <w:cantSplit/>
          <w:trHeight w:val="222"/>
          <w:jc w:val="center"/>
        </w:trPr>
        <w:tc>
          <w:tcPr>
            <w:tcW w:w="2695" w:type="pct"/>
            <w:tcBorders>
              <w:top w:val="nil"/>
              <w:left w:val="nil"/>
              <w:bottom w:val="nil"/>
              <w:right w:val="nil"/>
            </w:tcBorders>
          </w:tcPr>
          <w:p w14:paraId="6026A494" w14:textId="77777777" w:rsidR="00B511F4" w:rsidRPr="002F3885" w:rsidRDefault="00B511F4" w:rsidP="009D1134">
            <w:pPr>
              <w:widowControl/>
              <w:tabs>
                <w:tab w:val="right" w:leader="dot" w:pos="4540"/>
              </w:tabs>
              <w:suppressAutoHyphens/>
              <w:ind w:left="200" w:hanging="200"/>
              <w:rPr>
                <w:lang w:val="en-US"/>
              </w:rPr>
            </w:pPr>
            <w:r w:rsidRPr="002F3885">
              <w:rPr>
                <w:lang w:val="en-US"/>
              </w:rPr>
              <w:t>Other taxation and social security</w:t>
            </w:r>
            <w:r w:rsidRPr="002F3885">
              <w:rPr>
                <w:lang w:val="en-US"/>
              </w:rPr>
              <w:tab/>
            </w:r>
          </w:p>
        </w:tc>
        <w:tc>
          <w:tcPr>
            <w:tcW w:w="768" w:type="pct"/>
            <w:tcBorders>
              <w:top w:val="nil"/>
              <w:left w:val="nil"/>
              <w:bottom w:val="nil"/>
              <w:right w:val="nil"/>
            </w:tcBorders>
            <w:vAlign w:val="bottom"/>
          </w:tcPr>
          <w:p w14:paraId="4584A891" w14:textId="77777777" w:rsidR="00B511F4" w:rsidRPr="002F3885" w:rsidRDefault="00F3025B" w:rsidP="00056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171</w:t>
            </w:r>
          </w:p>
        </w:tc>
        <w:tc>
          <w:tcPr>
            <w:tcW w:w="768" w:type="pct"/>
            <w:tcBorders>
              <w:top w:val="nil"/>
              <w:left w:val="nil"/>
              <w:bottom w:val="nil"/>
              <w:right w:val="nil"/>
            </w:tcBorders>
            <w:vAlign w:val="bottom"/>
          </w:tcPr>
          <w:p w14:paraId="0D43A49C"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151</w:t>
            </w:r>
          </w:p>
        </w:tc>
        <w:tc>
          <w:tcPr>
            <w:tcW w:w="768" w:type="pct"/>
            <w:tcBorders>
              <w:top w:val="nil"/>
              <w:left w:val="nil"/>
              <w:bottom w:val="nil"/>
              <w:right w:val="nil"/>
            </w:tcBorders>
            <w:vAlign w:val="bottom"/>
          </w:tcPr>
          <w:p w14:paraId="770EB7A8" w14:textId="77777777" w:rsidR="00B511F4" w:rsidRPr="002F3885"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188</w:t>
            </w:r>
          </w:p>
        </w:tc>
      </w:tr>
      <w:tr w:rsidR="00B511F4" w:rsidRPr="002F3885" w14:paraId="65068B4C" w14:textId="77777777">
        <w:trPr>
          <w:cantSplit/>
          <w:trHeight w:val="222"/>
          <w:jc w:val="center"/>
        </w:trPr>
        <w:tc>
          <w:tcPr>
            <w:tcW w:w="2695" w:type="pct"/>
            <w:tcBorders>
              <w:top w:val="nil"/>
              <w:left w:val="nil"/>
              <w:bottom w:val="nil"/>
              <w:right w:val="nil"/>
            </w:tcBorders>
          </w:tcPr>
          <w:p w14:paraId="7FC44026" w14:textId="77777777" w:rsidR="00B511F4" w:rsidRPr="002F3885" w:rsidRDefault="00B511F4" w:rsidP="009D1134">
            <w:pPr>
              <w:widowControl/>
              <w:tabs>
                <w:tab w:val="right" w:leader="dot" w:pos="4540"/>
              </w:tabs>
              <w:suppressAutoHyphens/>
              <w:ind w:left="200" w:hanging="200"/>
              <w:rPr>
                <w:lang w:val="en-US"/>
              </w:rPr>
            </w:pPr>
            <w:r w:rsidRPr="002F3885">
              <w:rPr>
                <w:lang w:val="en-US"/>
              </w:rPr>
              <w:t>Other payables</w:t>
            </w:r>
            <w:r w:rsidRPr="002F3885">
              <w:rPr>
                <w:lang w:val="en-US"/>
              </w:rPr>
              <w:tab/>
            </w:r>
          </w:p>
        </w:tc>
        <w:tc>
          <w:tcPr>
            <w:tcW w:w="768" w:type="pct"/>
            <w:tcBorders>
              <w:top w:val="nil"/>
              <w:left w:val="nil"/>
              <w:bottom w:val="nil"/>
              <w:right w:val="nil"/>
            </w:tcBorders>
            <w:vAlign w:val="bottom"/>
          </w:tcPr>
          <w:p w14:paraId="26DDEE30" w14:textId="77777777" w:rsidR="00B511F4" w:rsidRPr="002F3885" w:rsidRDefault="00F3025B" w:rsidP="00056806">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276</w:t>
            </w:r>
          </w:p>
        </w:tc>
        <w:tc>
          <w:tcPr>
            <w:tcW w:w="768" w:type="pct"/>
            <w:tcBorders>
              <w:top w:val="nil"/>
              <w:left w:val="nil"/>
              <w:bottom w:val="nil"/>
              <w:right w:val="nil"/>
            </w:tcBorders>
            <w:vAlign w:val="bottom"/>
          </w:tcPr>
          <w:p w14:paraId="2B076EFF" w14:textId="77777777" w:rsidR="00B511F4" w:rsidRPr="002F3885" w:rsidRDefault="00B511F4" w:rsidP="00AF5671">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539</w:t>
            </w:r>
          </w:p>
        </w:tc>
        <w:tc>
          <w:tcPr>
            <w:tcW w:w="768" w:type="pct"/>
            <w:tcBorders>
              <w:top w:val="nil"/>
              <w:left w:val="nil"/>
              <w:bottom w:val="nil"/>
              <w:right w:val="nil"/>
            </w:tcBorders>
            <w:vAlign w:val="bottom"/>
          </w:tcPr>
          <w:p w14:paraId="5739F205" w14:textId="77777777" w:rsidR="00B511F4" w:rsidRPr="002F3885" w:rsidRDefault="00374BA5" w:rsidP="006A03AD">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369</w:t>
            </w:r>
          </w:p>
        </w:tc>
      </w:tr>
      <w:tr w:rsidR="00B511F4" w:rsidRPr="002F3885" w14:paraId="2A01DFFF" w14:textId="77777777">
        <w:trPr>
          <w:cantSplit/>
          <w:trHeight w:val="251"/>
          <w:jc w:val="center"/>
        </w:trPr>
        <w:tc>
          <w:tcPr>
            <w:tcW w:w="2695" w:type="pct"/>
            <w:tcBorders>
              <w:top w:val="nil"/>
              <w:left w:val="nil"/>
              <w:bottom w:val="nil"/>
              <w:right w:val="nil"/>
            </w:tcBorders>
          </w:tcPr>
          <w:p w14:paraId="471AC883" w14:textId="77777777" w:rsidR="00B511F4" w:rsidRPr="002F3885" w:rsidRDefault="00B511F4" w:rsidP="009D1134">
            <w:pPr>
              <w:widowControl/>
              <w:tabs>
                <w:tab w:val="right" w:leader="dot" w:pos="4540"/>
              </w:tabs>
              <w:suppressAutoHyphens/>
              <w:spacing w:after="20"/>
              <w:ind w:left="200" w:hanging="200"/>
              <w:rPr>
                <w:lang w:val="en-US"/>
              </w:rPr>
            </w:pPr>
            <w:r w:rsidRPr="002F3885">
              <w:rPr>
                <w:lang w:val="en-US"/>
              </w:rPr>
              <w:t>Accruals and deferred income</w:t>
            </w:r>
            <w:r w:rsidRPr="002F3885">
              <w:rPr>
                <w:lang w:val="en-US"/>
              </w:rPr>
              <w:tab/>
            </w:r>
          </w:p>
        </w:tc>
        <w:tc>
          <w:tcPr>
            <w:tcW w:w="768" w:type="pct"/>
            <w:tcBorders>
              <w:top w:val="nil"/>
              <w:left w:val="nil"/>
              <w:bottom w:val="nil"/>
              <w:right w:val="nil"/>
            </w:tcBorders>
            <w:vAlign w:val="bottom"/>
          </w:tcPr>
          <w:p w14:paraId="698B24A0" w14:textId="77777777" w:rsidR="00B511F4" w:rsidRPr="002F3885" w:rsidRDefault="00612561" w:rsidP="00CC7DA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787</w:t>
            </w:r>
          </w:p>
        </w:tc>
        <w:tc>
          <w:tcPr>
            <w:tcW w:w="768" w:type="pct"/>
            <w:tcBorders>
              <w:top w:val="nil"/>
              <w:left w:val="nil"/>
              <w:bottom w:val="nil"/>
              <w:right w:val="nil"/>
            </w:tcBorders>
            <w:vAlign w:val="bottom"/>
          </w:tcPr>
          <w:p w14:paraId="1A090291" w14:textId="77777777" w:rsidR="00B511F4" w:rsidRPr="002F3885" w:rsidRDefault="00B511F4"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1,596</w:t>
            </w:r>
          </w:p>
        </w:tc>
        <w:tc>
          <w:tcPr>
            <w:tcW w:w="768" w:type="pct"/>
            <w:tcBorders>
              <w:top w:val="nil"/>
              <w:left w:val="nil"/>
              <w:bottom w:val="nil"/>
              <w:right w:val="nil"/>
            </w:tcBorders>
            <w:vAlign w:val="bottom"/>
          </w:tcPr>
          <w:p w14:paraId="66B4327D" w14:textId="77777777" w:rsidR="00B511F4" w:rsidRPr="002F3885" w:rsidRDefault="00374BA5" w:rsidP="006A03A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912</w:t>
            </w:r>
          </w:p>
        </w:tc>
      </w:tr>
      <w:tr w:rsidR="00B511F4" w:rsidRPr="002F3885" w14:paraId="5D7D395E" w14:textId="77777777">
        <w:trPr>
          <w:cantSplit/>
          <w:trHeight w:val="295"/>
          <w:jc w:val="center"/>
        </w:trPr>
        <w:tc>
          <w:tcPr>
            <w:tcW w:w="2695" w:type="pct"/>
            <w:tcBorders>
              <w:top w:val="nil"/>
              <w:left w:val="nil"/>
              <w:bottom w:val="nil"/>
              <w:right w:val="nil"/>
            </w:tcBorders>
          </w:tcPr>
          <w:p w14:paraId="24FAF369" w14:textId="77777777" w:rsidR="00B511F4" w:rsidRPr="002F3885" w:rsidRDefault="00B511F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768" w:type="pct"/>
            <w:tcBorders>
              <w:top w:val="nil"/>
              <w:left w:val="nil"/>
              <w:bottom w:val="nil"/>
              <w:right w:val="nil"/>
            </w:tcBorders>
            <w:vAlign w:val="bottom"/>
          </w:tcPr>
          <w:p w14:paraId="4A58B858" w14:textId="77777777" w:rsidR="00B511F4" w:rsidRPr="002F3885" w:rsidRDefault="00F3025B" w:rsidP="0061256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w:t>
            </w:r>
            <w:r w:rsidR="00612561">
              <w:rPr>
                <w:lang w:val="en-US"/>
              </w:rPr>
              <w:t>406</w:t>
            </w:r>
          </w:p>
        </w:tc>
        <w:tc>
          <w:tcPr>
            <w:tcW w:w="768" w:type="pct"/>
            <w:tcBorders>
              <w:top w:val="nil"/>
              <w:left w:val="nil"/>
              <w:bottom w:val="nil"/>
              <w:right w:val="nil"/>
            </w:tcBorders>
            <w:vAlign w:val="bottom"/>
          </w:tcPr>
          <w:p w14:paraId="48A4E075" w14:textId="77777777" w:rsidR="00B511F4" w:rsidRPr="002F3885" w:rsidRDefault="00B511F4" w:rsidP="00AF5671">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3,486</w:t>
            </w:r>
          </w:p>
        </w:tc>
        <w:tc>
          <w:tcPr>
            <w:tcW w:w="768" w:type="pct"/>
            <w:tcBorders>
              <w:top w:val="nil"/>
              <w:left w:val="nil"/>
              <w:bottom w:val="nil"/>
              <w:right w:val="nil"/>
            </w:tcBorders>
            <w:vAlign w:val="bottom"/>
          </w:tcPr>
          <w:p w14:paraId="7843D632" w14:textId="77777777" w:rsidR="00B511F4" w:rsidRPr="002F3885" w:rsidRDefault="00374BA5" w:rsidP="006A03AD">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2,764</w:t>
            </w:r>
          </w:p>
        </w:tc>
      </w:tr>
    </w:tbl>
    <w:p w14:paraId="280EB912" w14:textId="77777777" w:rsidR="00ED0E49" w:rsidRDefault="00ED0E49" w:rsidP="009D1134">
      <w:pPr>
        <w:widowControl/>
        <w:tabs>
          <w:tab w:val="left" w:pos="-720"/>
          <w:tab w:val="left" w:pos="0"/>
        </w:tabs>
        <w:suppressAutoHyphens/>
        <w:spacing w:after="240"/>
        <w:ind w:left="720" w:hanging="720"/>
        <w:jc w:val="both"/>
        <w:rPr>
          <w:b/>
          <w:bCs/>
          <w:sz w:val="24"/>
          <w:szCs w:val="24"/>
          <w:lang w:val="en-US"/>
        </w:rPr>
      </w:pPr>
    </w:p>
    <w:p w14:paraId="57DEACEC" w14:textId="77777777" w:rsidR="009D1134" w:rsidRDefault="00195074" w:rsidP="00195074">
      <w:pPr>
        <w:widowControl/>
        <w:tabs>
          <w:tab w:val="left" w:pos="-720"/>
          <w:tab w:val="left" w:pos="0"/>
        </w:tabs>
        <w:suppressAutoHyphens/>
        <w:spacing w:after="240"/>
        <w:ind w:left="720" w:hanging="720"/>
        <w:jc w:val="both"/>
        <w:rPr>
          <w:lang w:val="en-US"/>
        </w:rPr>
      </w:pPr>
      <w:r>
        <w:rPr>
          <w:b/>
          <w:bCs/>
          <w:lang w:val="en-US"/>
        </w:rPr>
        <w:t>8</w:t>
      </w:r>
      <w:r w:rsidR="009D1134" w:rsidRPr="002F3885">
        <w:rPr>
          <w:b/>
          <w:bCs/>
          <w:lang w:val="en-US"/>
        </w:rPr>
        <w:t>.</w:t>
      </w:r>
      <w:r w:rsidR="009D1134" w:rsidRPr="002F3885">
        <w:rPr>
          <w:b/>
          <w:bCs/>
          <w:lang w:val="en-US"/>
        </w:rPr>
        <w:tab/>
        <w:t>Share capital</w:t>
      </w:r>
      <w:r w:rsidR="00CD4B30">
        <w:rPr>
          <w:b/>
          <w:bCs/>
          <w:lang w:val="en-US"/>
        </w:rPr>
        <w:t xml:space="preserve"> </w:t>
      </w:r>
      <w:r w:rsidR="00352FD4">
        <w:rPr>
          <w:b/>
          <w:bCs/>
          <w:lang w:val="en-US"/>
        </w:rPr>
        <w:t xml:space="preserve"> </w:t>
      </w:r>
    </w:p>
    <w:tbl>
      <w:tblPr>
        <w:tblpPr w:leftFromText="180" w:rightFromText="180" w:vertAnchor="text" w:horzAnchor="margin" w:tblpY="181"/>
        <w:tblW w:w="5115" w:type="pct"/>
        <w:tblCellMar>
          <w:left w:w="72" w:type="dxa"/>
          <w:right w:w="72" w:type="dxa"/>
        </w:tblCellMar>
        <w:tblLook w:val="0000" w:firstRow="0" w:lastRow="0" w:firstColumn="0" w:lastColumn="0" w:noHBand="0" w:noVBand="0"/>
      </w:tblPr>
      <w:tblGrid>
        <w:gridCol w:w="5996"/>
        <w:gridCol w:w="1290"/>
        <w:gridCol w:w="1290"/>
        <w:gridCol w:w="1288"/>
      </w:tblGrid>
      <w:tr w:rsidR="002B3A13" w:rsidRPr="002F3885" w14:paraId="298CCC07" w14:textId="77777777">
        <w:trPr>
          <w:cantSplit/>
        </w:trPr>
        <w:tc>
          <w:tcPr>
            <w:tcW w:w="3039" w:type="pct"/>
            <w:tcBorders>
              <w:top w:val="nil"/>
              <w:left w:val="nil"/>
              <w:bottom w:val="nil"/>
              <w:right w:val="nil"/>
            </w:tcBorders>
            <w:vAlign w:val="bottom"/>
          </w:tcPr>
          <w:p w14:paraId="149CBB38" w14:textId="77777777" w:rsidR="002B3A13" w:rsidRPr="002F3885" w:rsidRDefault="002B3A13" w:rsidP="002B3A13">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654" w:type="pct"/>
            <w:tcBorders>
              <w:top w:val="nil"/>
              <w:left w:val="nil"/>
              <w:bottom w:val="nil"/>
              <w:right w:val="nil"/>
            </w:tcBorders>
            <w:vAlign w:val="bottom"/>
          </w:tcPr>
          <w:p w14:paraId="5BC712E2" w14:textId="77777777" w:rsidR="002B3A13" w:rsidRDefault="002B3A13"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w:t>
            </w:r>
            <w:r>
              <w:rPr>
                <w:b/>
                <w:bCs/>
                <w:sz w:val="16"/>
                <w:szCs w:val="18"/>
                <w:lang w:val="en-US"/>
              </w:rPr>
              <w:br/>
              <w:t>30 June</w:t>
            </w:r>
            <w:r>
              <w:rPr>
                <w:b/>
                <w:bCs/>
                <w:sz w:val="16"/>
                <w:szCs w:val="18"/>
                <w:lang w:val="en-US"/>
              </w:rPr>
              <w:br/>
              <w:t>201</w:t>
            </w:r>
            <w:r w:rsidR="00BB563A">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7F2C4323" w14:textId="77777777" w:rsidR="00D079C7" w:rsidRDefault="00D079C7"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4" w:type="pct"/>
            <w:tcBorders>
              <w:top w:val="nil"/>
              <w:left w:val="nil"/>
              <w:bottom w:val="nil"/>
              <w:right w:val="nil"/>
            </w:tcBorders>
            <w:vAlign w:val="bottom"/>
          </w:tcPr>
          <w:p w14:paraId="60188A27" w14:textId="77777777" w:rsidR="002B3A13" w:rsidRDefault="002B3A13"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w:t>
            </w:r>
            <w:r>
              <w:rPr>
                <w:b/>
                <w:bCs/>
                <w:sz w:val="16"/>
                <w:szCs w:val="18"/>
                <w:lang w:val="en-US"/>
              </w:rPr>
              <w:br/>
              <w:t>30 June</w:t>
            </w:r>
            <w:r>
              <w:rPr>
                <w:b/>
                <w:bCs/>
                <w:sz w:val="16"/>
                <w:szCs w:val="18"/>
                <w:lang w:val="en-US"/>
              </w:rPr>
              <w:br/>
              <w:t>201</w:t>
            </w:r>
            <w:r w:rsidR="00BB563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2878DE80" w14:textId="77777777" w:rsidR="00D079C7" w:rsidRDefault="00D079C7"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3" w:type="pct"/>
            <w:tcBorders>
              <w:top w:val="nil"/>
              <w:left w:val="nil"/>
              <w:bottom w:val="nil"/>
              <w:right w:val="nil"/>
            </w:tcBorders>
            <w:vAlign w:val="bottom"/>
          </w:tcPr>
          <w:p w14:paraId="3FFC904B" w14:textId="77777777" w:rsidR="002B3A13" w:rsidRDefault="002B3A13"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At</w:t>
            </w:r>
            <w:r>
              <w:rPr>
                <w:b/>
                <w:bCs/>
                <w:sz w:val="16"/>
                <w:szCs w:val="18"/>
                <w:lang w:val="en-US"/>
              </w:rPr>
              <w:br/>
              <w:t>31 December</w:t>
            </w:r>
            <w:r>
              <w:rPr>
                <w:b/>
                <w:bCs/>
                <w:sz w:val="16"/>
                <w:szCs w:val="18"/>
                <w:lang w:val="en-US"/>
              </w:rPr>
              <w:br/>
              <w:t>201</w:t>
            </w:r>
            <w:r w:rsidR="00BB563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57386523" w14:textId="77777777" w:rsidR="00D079C7" w:rsidRPr="002F3885" w:rsidRDefault="00D079C7" w:rsidP="002B3A13">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Audited</w:t>
            </w:r>
          </w:p>
        </w:tc>
      </w:tr>
      <w:tr w:rsidR="00BB563A" w:rsidRPr="002F3885" w14:paraId="1A697561" w14:textId="77777777">
        <w:trPr>
          <w:cantSplit/>
        </w:trPr>
        <w:tc>
          <w:tcPr>
            <w:tcW w:w="3039" w:type="pct"/>
            <w:tcBorders>
              <w:top w:val="nil"/>
              <w:left w:val="nil"/>
              <w:bottom w:val="nil"/>
              <w:right w:val="nil"/>
            </w:tcBorders>
          </w:tcPr>
          <w:p w14:paraId="197BF9FE" w14:textId="77777777" w:rsidR="00BB563A" w:rsidRPr="002F3885" w:rsidRDefault="00BB563A" w:rsidP="00BB563A">
            <w:pPr>
              <w:widowControl/>
              <w:tabs>
                <w:tab w:val="right" w:leader="dot" w:pos="4540"/>
              </w:tabs>
              <w:suppressAutoHyphens/>
              <w:ind w:left="200" w:hanging="200"/>
              <w:rPr>
                <w:lang w:val="en-US"/>
              </w:rPr>
            </w:pPr>
            <w:r w:rsidRPr="002F3885">
              <w:rPr>
                <w:lang w:val="en-US"/>
              </w:rPr>
              <w:t>Ordinary shares</w:t>
            </w:r>
            <w:r w:rsidRPr="002F3885">
              <w:rPr>
                <w:lang w:val="en-US"/>
              </w:rPr>
              <w:tab/>
            </w:r>
          </w:p>
        </w:tc>
        <w:tc>
          <w:tcPr>
            <w:tcW w:w="654" w:type="pct"/>
            <w:tcBorders>
              <w:top w:val="nil"/>
              <w:left w:val="nil"/>
              <w:bottom w:val="nil"/>
              <w:right w:val="nil"/>
            </w:tcBorders>
            <w:vAlign w:val="bottom"/>
          </w:tcPr>
          <w:p w14:paraId="443249C2" w14:textId="77777777" w:rsidR="00BB563A" w:rsidRDefault="00F3025B" w:rsidP="00BB56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559</w:t>
            </w:r>
          </w:p>
        </w:tc>
        <w:tc>
          <w:tcPr>
            <w:tcW w:w="654" w:type="pct"/>
            <w:tcBorders>
              <w:top w:val="nil"/>
              <w:left w:val="nil"/>
              <w:bottom w:val="nil"/>
              <w:right w:val="nil"/>
            </w:tcBorders>
            <w:vAlign w:val="bottom"/>
          </w:tcPr>
          <w:p w14:paraId="58447210" w14:textId="77777777" w:rsidR="00BB563A" w:rsidRDefault="00BB563A" w:rsidP="00BB56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558</w:t>
            </w:r>
          </w:p>
        </w:tc>
        <w:tc>
          <w:tcPr>
            <w:tcW w:w="653" w:type="pct"/>
            <w:tcBorders>
              <w:top w:val="nil"/>
              <w:left w:val="nil"/>
              <w:bottom w:val="nil"/>
              <w:right w:val="nil"/>
            </w:tcBorders>
            <w:vAlign w:val="bottom"/>
          </w:tcPr>
          <w:p w14:paraId="54D8C0CE" w14:textId="77777777" w:rsidR="00BB563A" w:rsidRPr="002F3885" w:rsidRDefault="00374BA5" w:rsidP="00BB563A">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lang w:val="en-US"/>
              </w:rPr>
            </w:pPr>
            <w:r>
              <w:rPr>
                <w:lang w:val="en-US"/>
              </w:rPr>
              <w:t>559</w:t>
            </w:r>
          </w:p>
        </w:tc>
      </w:tr>
      <w:tr w:rsidR="00BB563A" w:rsidRPr="002F3885" w14:paraId="46A23948" w14:textId="77777777">
        <w:trPr>
          <w:cantSplit/>
        </w:trPr>
        <w:tc>
          <w:tcPr>
            <w:tcW w:w="3039" w:type="pct"/>
            <w:tcBorders>
              <w:top w:val="nil"/>
              <w:left w:val="nil"/>
              <w:bottom w:val="nil"/>
              <w:right w:val="nil"/>
            </w:tcBorders>
          </w:tcPr>
          <w:p w14:paraId="5AC8DC35" w14:textId="77777777" w:rsidR="00BB563A" w:rsidRPr="002F3885" w:rsidRDefault="00BB563A" w:rsidP="00BB563A">
            <w:pPr>
              <w:widowControl/>
              <w:tabs>
                <w:tab w:val="right" w:leader="dot" w:pos="4540"/>
              </w:tabs>
              <w:suppressAutoHyphens/>
              <w:spacing w:after="20"/>
              <w:ind w:left="200" w:hanging="200"/>
              <w:rPr>
                <w:lang w:val="en-US"/>
              </w:rPr>
            </w:pPr>
          </w:p>
        </w:tc>
        <w:tc>
          <w:tcPr>
            <w:tcW w:w="654" w:type="pct"/>
            <w:tcBorders>
              <w:top w:val="nil"/>
              <w:left w:val="nil"/>
              <w:bottom w:val="nil"/>
              <w:right w:val="nil"/>
            </w:tcBorders>
            <w:vAlign w:val="bottom"/>
          </w:tcPr>
          <w:p w14:paraId="66B4D284" w14:textId="77777777" w:rsidR="00BB563A" w:rsidRDefault="00BB563A" w:rsidP="00BB56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654" w:type="pct"/>
            <w:tcBorders>
              <w:top w:val="nil"/>
              <w:left w:val="nil"/>
              <w:bottom w:val="nil"/>
              <w:right w:val="nil"/>
            </w:tcBorders>
            <w:vAlign w:val="bottom"/>
          </w:tcPr>
          <w:p w14:paraId="41FCF60F" w14:textId="77777777" w:rsidR="00BB563A" w:rsidRDefault="00BB563A" w:rsidP="00BB56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c>
          <w:tcPr>
            <w:tcW w:w="653" w:type="pct"/>
            <w:tcBorders>
              <w:top w:val="nil"/>
              <w:left w:val="nil"/>
              <w:bottom w:val="nil"/>
              <w:right w:val="nil"/>
            </w:tcBorders>
            <w:vAlign w:val="bottom"/>
          </w:tcPr>
          <w:p w14:paraId="20786AB4" w14:textId="77777777" w:rsidR="00BB563A" w:rsidRPr="002F3885" w:rsidRDefault="00BB563A" w:rsidP="00BB563A">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p>
        </w:tc>
      </w:tr>
      <w:tr w:rsidR="00BB563A" w:rsidRPr="002F3885" w14:paraId="6456B485" w14:textId="77777777">
        <w:trPr>
          <w:cantSplit/>
        </w:trPr>
        <w:tc>
          <w:tcPr>
            <w:tcW w:w="3039" w:type="pct"/>
            <w:tcBorders>
              <w:top w:val="nil"/>
              <w:left w:val="nil"/>
              <w:bottom w:val="nil"/>
              <w:right w:val="nil"/>
            </w:tcBorders>
          </w:tcPr>
          <w:p w14:paraId="587C5A58" w14:textId="77777777" w:rsidR="00BB563A" w:rsidRPr="002F3885" w:rsidRDefault="00BB563A" w:rsidP="00BB563A">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40"/>
              <w:ind w:left="200" w:hanging="200"/>
              <w:rPr>
                <w:lang w:val="en-US"/>
              </w:rPr>
            </w:pPr>
          </w:p>
        </w:tc>
        <w:tc>
          <w:tcPr>
            <w:tcW w:w="654" w:type="pct"/>
            <w:tcBorders>
              <w:top w:val="nil"/>
              <w:left w:val="nil"/>
              <w:bottom w:val="nil"/>
              <w:right w:val="nil"/>
            </w:tcBorders>
            <w:vAlign w:val="bottom"/>
          </w:tcPr>
          <w:p w14:paraId="35A2BDFB" w14:textId="77777777" w:rsidR="00BB563A" w:rsidRDefault="00F3025B" w:rsidP="00BB563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559</w:t>
            </w:r>
          </w:p>
        </w:tc>
        <w:tc>
          <w:tcPr>
            <w:tcW w:w="654" w:type="pct"/>
            <w:tcBorders>
              <w:top w:val="nil"/>
              <w:left w:val="nil"/>
              <w:bottom w:val="nil"/>
              <w:right w:val="nil"/>
            </w:tcBorders>
            <w:vAlign w:val="bottom"/>
          </w:tcPr>
          <w:p w14:paraId="3F5F221F" w14:textId="77777777" w:rsidR="00BB563A" w:rsidRDefault="00BB563A" w:rsidP="00BB563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558</w:t>
            </w:r>
          </w:p>
        </w:tc>
        <w:tc>
          <w:tcPr>
            <w:tcW w:w="653" w:type="pct"/>
            <w:tcBorders>
              <w:top w:val="nil"/>
              <w:left w:val="nil"/>
              <w:bottom w:val="nil"/>
              <w:right w:val="nil"/>
            </w:tcBorders>
            <w:vAlign w:val="bottom"/>
          </w:tcPr>
          <w:p w14:paraId="3FACD43B" w14:textId="77777777" w:rsidR="00BB563A" w:rsidRPr="002F3885" w:rsidRDefault="00374BA5" w:rsidP="00BB563A">
            <w:pPr>
              <w:widowControl/>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40"/>
              <w:jc w:val="right"/>
              <w:rPr>
                <w:lang w:val="en-US"/>
              </w:rPr>
            </w:pPr>
            <w:r>
              <w:rPr>
                <w:lang w:val="en-US"/>
              </w:rPr>
              <w:t>559</w:t>
            </w:r>
          </w:p>
        </w:tc>
      </w:tr>
    </w:tbl>
    <w:p w14:paraId="6D585164" w14:textId="77777777" w:rsidR="00195074" w:rsidRDefault="00195074" w:rsidP="001169CC">
      <w:pPr>
        <w:widowControl/>
        <w:autoSpaceDE/>
        <w:autoSpaceDN/>
        <w:adjustRightInd/>
        <w:rPr>
          <w:lang w:val="en-US"/>
        </w:rPr>
      </w:pPr>
    </w:p>
    <w:p w14:paraId="70376BED" w14:textId="77777777" w:rsidR="00195074" w:rsidRPr="002F3885" w:rsidRDefault="00195074" w:rsidP="00195074">
      <w:pPr>
        <w:keepNext/>
        <w:keepLines/>
        <w:widowControl/>
        <w:tabs>
          <w:tab w:val="left" w:pos="-720"/>
          <w:tab w:val="left" w:pos="0"/>
          <w:tab w:val="left" w:pos="720"/>
          <w:tab w:val="left" w:pos="1440"/>
        </w:tabs>
        <w:suppressAutoHyphens/>
        <w:spacing w:after="240"/>
        <w:jc w:val="both"/>
        <w:rPr>
          <w:b/>
          <w:bCs/>
          <w:i/>
          <w:iCs/>
          <w:lang w:val="en-US"/>
        </w:rPr>
      </w:pPr>
      <w:r w:rsidRPr="002F3885">
        <w:rPr>
          <w:b/>
          <w:bCs/>
          <w:i/>
          <w:iCs/>
          <w:lang w:val="en-US"/>
        </w:rPr>
        <w:t>Issue of shares</w:t>
      </w:r>
    </w:p>
    <w:p w14:paraId="19345404" w14:textId="77777777" w:rsidR="00195074" w:rsidRPr="002F3885" w:rsidRDefault="00F3025B" w:rsidP="00195074">
      <w:pPr>
        <w:widowControl/>
        <w:tabs>
          <w:tab w:val="left" w:pos="-720"/>
          <w:tab w:val="left" w:pos="0"/>
        </w:tabs>
        <w:suppressAutoHyphens/>
        <w:spacing w:after="240"/>
        <w:ind w:left="720" w:hanging="720"/>
        <w:jc w:val="both"/>
        <w:rPr>
          <w:lang w:val="en-US"/>
        </w:rPr>
      </w:pPr>
      <w:r w:rsidRPr="00F3025B">
        <w:rPr>
          <w:lang w:val="en-US"/>
        </w:rPr>
        <w:t xml:space="preserve">No shares were issued during the period ended 30 June 2015 (2014: </w:t>
      </w:r>
      <w:r w:rsidR="00195074" w:rsidRPr="00F3025B">
        <w:rPr>
          <w:lang w:val="en-US"/>
        </w:rPr>
        <w:t>216,480</w:t>
      </w:r>
      <w:r w:rsidRPr="00F3025B">
        <w:rPr>
          <w:lang w:val="en-US"/>
        </w:rPr>
        <w:t>)</w:t>
      </w:r>
      <w:r w:rsidR="00195074" w:rsidRPr="00F3025B">
        <w:rPr>
          <w:lang w:val="en-US"/>
        </w:rPr>
        <w:t>.</w:t>
      </w:r>
    </w:p>
    <w:p w14:paraId="0787ED1B" w14:textId="77777777" w:rsidR="00F53E58" w:rsidRDefault="002B3A13" w:rsidP="001169CC">
      <w:pPr>
        <w:widowControl/>
        <w:autoSpaceDE/>
        <w:autoSpaceDN/>
        <w:adjustRightInd/>
        <w:rPr>
          <w:lang w:val="en-US"/>
        </w:rPr>
      </w:pPr>
      <w:r>
        <w:rPr>
          <w:lang w:val="en-US"/>
        </w:rPr>
        <w:br w:type="page"/>
      </w:r>
    </w:p>
    <w:p w14:paraId="049FDB83" w14:textId="77777777" w:rsidR="00F53E58" w:rsidRPr="00221793" w:rsidRDefault="00F53E58" w:rsidP="00F53E58">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lastRenderedPageBreak/>
        <w:t>GameAccount Network Plc</w:t>
      </w:r>
    </w:p>
    <w:p w14:paraId="03B4D4A2" w14:textId="77777777" w:rsidR="00F53E58" w:rsidRPr="00221793" w:rsidRDefault="00F53E58" w:rsidP="00F53E58">
      <w:pPr>
        <w:keepNext/>
        <w:keepLines/>
        <w:widowControl/>
        <w:tabs>
          <w:tab w:val="left" w:pos="720"/>
          <w:tab w:val="left" w:pos="1440"/>
          <w:tab w:val="center" w:pos="5400"/>
        </w:tabs>
        <w:suppressAutoHyphens/>
        <w:spacing w:after="240"/>
        <w:jc w:val="center"/>
        <w:rPr>
          <w:b/>
          <w:bCs/>
          <w:sz w:val="24"/>
          <w:szCs w:val="24"/>
          <w:lang w:val="en-US"/>
        </w:rPr>
      </w:pPr>
      <w:r w:rsidRPr="00221793">
        <w:rPr>
          <w:b/>
          <w:bCs/>
          <w:sz w:val="24"/>
          <w:szCs w:val="24"/>
          <w:lang w:val="en-US"/>
        </w:rPr>
        <w:t xml:space="preserve">For the </w:t>
      </w:r>
      <w:r w:rsidR="00DE182D">
        <w:rPr>
          <w:b/>
          <w:bCs/>
          <w:sz w:val="24"/>
          <w:szCs w:val="24"/>
          <w:lang w:val="en-US"/>
        </w:rPr>
        <w:t>period</w:t>
      </w:r>
      <w:r w:rsidRPr="00221793">
        <w:rPr>
          <w:b/>
          <w:bCs/>
          <w:sz w:val="24"/>
          <w:szCs w:val="24"/>
          <w:lang w:val="en-US"/>
        </w:rPr>
        <w:t xml:space="preserve"> ended </w:t>
      </w:r>
      <w:r w:rsidR="00523EEF">
        <w:rPr>
          <w:b/>
          <w:bCs/>
          <w:sz w:val="24"/>
          <w:szCs w:val="24"/>
          <w:lang w:val="en-US"/>
        </w:rPr>
        <w:t>30 June 201</w:t>
      </w:r>
      <w:r w:rsidR="00BB563A">
        <w:rPr>
          <w:b/>
          <w:bCs/>
          <w:sz w:val="24"/>
          <w:szCs w:val="24"/>
          <w:lang w:val="en-US"/>
        </w:rPr>
        <w:t>5</w:t>
      </w:r>
    </w:p>
    <w:p w14:paraId="4B4E0C7D" w14:textId="77777777" w:rsidR="00F53E58" w:rsidRDefault="00F53E58" w:rsidP="00F53E58">
      <w:pPr>
        <w:keepNext/>
        <w:keepLines/>
        <w:widowControl/>
        <w:tabs>
          <w:tab w:val="left" w:pos="720"/>
          <w:tab w:val="left" w:pos="1440"/>
          <w:tab w:val="center" w:pos="5400"/>
        </w:tabs>
        <w:suppressAutoHyphens/>
        <w:spacing w:after="240"/>
        <w:jc w:val="center"/>
        <w:rPr>
          <w:b/>
          <w:bCs/>
          <w:i/>
          <w:sz w:val="24"/>
          <w:szCs w:val="24"/>
          <w:lang w:val="en-US"/>
        </w:rPr>
      </w:pPr>
      <w:r w:rsidRPr="00221793">
        <w:rPr>
          <w:b/>
          <w:bCs/>
          <w:sz w:val="24"/>
          <w:szCs w:val="24"/>
          <w:lang w:val="en-US"/>
        </w:rPr>
        <w:t>Notes to the financial statements</w:t>
      </w:r>
      <w:r>
        <w:rPr>
          <w:b/>
          <w:bCs/>
          <w:sz w:val="24"/>
          <w:szCs w:val="24"/>
          <w:lang w:val="en-US"/>
        </w:rPr>
        <w:t xml:space="preserve"> </w:t>
      </w:r>
      <w:r w:rsidRPr="000E5FB8">
        <w:rPr>
          <w:b/>
          <w:bCs/>
          <w:i/>
          <w:sz w:val="24"/>
          <w:szCs w:val="24"/>
          <w:lang w:val="en-US"/>
        </w:rPr>
        <w:t>(continued</w:t>
      </w:r>
      <w:r>
        <w:rPr>
          <w:b/>
          <w:bCs/>
          <w:i/>
          <w:sz w:val="24"/>
          <w:szCs w:val="24"/>
          <w:lang w:val="en-US"/>
        </w:rPr>
        <w:t>)</w:t>
      </w:r>
    </w:p>
    <w:p w14:paraId="0C41F5C0" w14:textId="77777777" w:rsidR="002B3A13" w:rsidRPr="00F53E58" w:rsidRDefault="002B3A13"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both"/>
        <w:rPr>
          <w:b/>
          <w:lang w:val="en-US"/>
        </w:rPr>
      </w:pPr>
    </w:p>
    <w:p w14:paraId="597D6E29" w14:textId="77777777" w:rsidR="009D1134" w:rsidRPr="002F3885" w:rsidRDefault="00195074" w:rsidP="009D1134">
      <w:pPr>
        <w:widowControl/>
        <w:tabs>
          <w:tab w:val="left" w:pos="-720"/>
          <w:tab w:val="left" w:pos="0"/>
        </w:tabs>
        <w:suppressAutoHyphens/>
        <w:spacing w:after="240"/>
        <w:ind w:left="720" w:hanging="720"/>
        <w:jc w:val="both"/>
        <w:rPr>
          <w:lang w:val="en-US"/>
        </w:rPr>
      </w:pPr>
      <w:r>
        <w:rPr>
          <w:b/>
          <w:bCs/>
          <w:lang w:val="en-US"/>
        </w:rPr>
        <w:t>9</w:t>
      </w:r>
      <w:r w:rsidR="009D1134" w:rsidRPr="00FE55F5">
        <w:rPr>
          <w:b/>
          <w:bCs/>
          <w:lang w:val="en-US"/>
        </w:rPr>
        <w:t>.</w:t>
      </w:r>
      <w:r w:rsidR="009D1134" w:rsidRPr="00FE55F5">
        <w:rPr>
          <w:b/>
          <w:bCs/>
          <w:lang w:val="en-US"/>
        </w:rPr>
        <w:tab/>
        <w:t>Earnings per share</w:t>
      </w:r>
    </w:p>
    <w:p w14:paraId="3BF80990" w14:textId="77777777" w:rsidR="007507CA" w:rsidRDefault="006B67BA" w:rsidP="00415511">
      <w:pPr>
        <w:widowControl/>
        <w:tabs>
          <w:tab w:val="left" w:pos="-720"/>
        </w:tabs>
        <w:suppressAutoHyphens/>
        <w:spacing w:after="240"/>
        <w:jc w:val="both"/>
        <w:rPr>
          <w:lang w:val="en-US"/>
        </w:rPr>
      </w:pPr>
      <w:r>
        <w:rPr>
          <w:lang w:val="en-US"/>
        </w:rPr>
        <w:t>Basic e</w:t>
      </w:r>
      <w:r w:rsidR="009D1134" w:rsidRPr="002F3885">
        <w:rPr>
          <w:lang w:val="en-US"/>
        </w:rPr>
        <w:t xml:space="preserve">arnings per share is calculated by dividing the </w:t>
      </w:r>
      <w:r>
        <w:rPr>
          <w:lang w:val="en-US"/>
        </w:rPr>
        <w:t>profit</w:t>
      </w:r>
      <w:r w:rsidR="006E0061">
        <w:rPr>
          <w:lang w:val="en-US"/>
        </w:rPr>
        <w:t>/(loss)</w:t>
      </w:r>
      <w:r w:rsidR="009D1134" w:rsidRPr="002F3885">
        <w:rPr>
          <w:lang w:val="en-US"/>
        </w:rPr>
        <w:t xml:space="preserve"> attributable to </w:t>
      </w:r>
      <w:r>
        <w:rPr>
          <w:lang w:val="en-US"/>
        </w:rPr>
        <w:t>equity</w:t>
      </w:r>
      <w:r w:rsidR="009D1134" w:rsidRPr="002F3885">
        <w:rPr>
          <w:lang w:val="en-US"/>
        </w:rPr>
        <w:t xml:space="preserve"> shareholders </w:t>
      </w:r>
      <w:r>
        <w:rPr>
          <w:lang w:val="en-US"/>
        </w:rPr>
        <w:t xml:space="preserve">of the company </w:t>
      </w:r>
      <w:r w:rsidR="009D1134" w:rsidRPr="002F3885">
        <w:rPr>
          <w:lang w:val="en-US"/>
        </w:rPr>
        <w:t xml:space="preserve">by the </w:t>
      </w:r>
      <w:r w:rsidR="00276BE7">
        <w:rPr>
          <w:lang w:val="en-US"/>
        </w:rPr>
        <w:t>weighted average number of</w:t>
      </w:r>
      <w:r>
        <w:rPr>
          <w:lang w:val="en-US"/>
        </w:rPr>
        <w:t xml:space="preserve"> ordinary</w:t>
      </w:r>
      <w:r w:rsidR="00276BE7">
        <w:rPr>
          <w:lang w:val="en-US"/>
        </w:rPr>
        <w:t xml:space="preserve"> shares</w:t>
      </w:r>
      <w:r>
        <w:rPr>
          <w:lang w:val="en-US"/>
        </w:rPr>
        <w:t xml:space="preserve"> in issue during the </w:t>
      </w:r>
      <w:r w:rsidR="00DE182D">
        <w:rPr>
          <w:lang w:val="en-US"/>
        </w:rPr>
        <w:t>period</w:t>
      </w:r>
      <w:r w:rsidR="00276BE7">
        <w:rPr>
          <w:lang w:val="en-US"/>
        </w:rPr>
        <w:t>.</w:t>
      </w:r>
      <w:r>
        <w:rPr>
          <w:lang w:val="en-US"/>
        </w:rPr>
        <w:t xml:space="preserve"> </w:t>
      </w:r>
    </w:p>
    <w:p w14:paraId="3593BE04" w14:textId="77777777" w:rsidR="009D1134" w:rsidRPr="002F3885" w:rsidRDefault="006B67BA" w:rsidP="00415511">
      <w:pPr>
        <w:widowControl/>
        <w:tabs>
          <w:tab w:val="left" w:pos="-720"/>
        </w:tabs>
        <w:suppressAutoHyphens/>
        <w:spacing w:after="240"/>
        <w:jc w:val="both"/>
        <w:rPr>
          <w:lang w:val="en-US"/>
        </w:rPr>
      </w:pPr>
      <w:r>
        <w:rPr>
          <w:lang w:val="en-US"/>
        </w:rPr>
        <w:t>Diluted earnings per share is calculated by adjusting the weighted average number of ordinary shares outstanding to assume conversion of all dilutive potential ordinary shares</w:t>
      </w:r>
      <w:r w:rsidR="006E0061">
        <w:rPr>
          <w:lang w:val="en-US"/>
        </w:rPr>
        <w:t>.</w:t>
      </w:r>
      <w:r>
        <w:rPr>
          <w:lang w:val="en-US"/>
        </w:rPr>
        <w:t xml:space="preserve"> The company has share options and a calculation is done to determine the number of shares that could have been acquired at fair value (determined as the average market share price </w:t>
      </w:r>
      <w:r w:rsidR="00977910">
        <w:rPr>
          <w:lang w:val="en-US"/>
        </w:rPr>
        <w:t>for the period</w:t>
      </w:r>
      <w:r>
        <w:rPr>
          <w:lang w:val="en-US"/>
        </w:rPr>
        <w:t>) based on the monetary value of the subscription rights attached to the outstanding share options. The number of shares calculated as above is compared with the number of shares that would have been issued assuming the exercise of the share options.</w:t>
      </w:r>
    </w:p>
    <w:tbl>
      <w:tblPr>
        <w:tblW w:w="5091" w:type="pct"/>
        <w:jc w:val="center"/>
        <w:tblCellMar>
          <w:left w:w="72" w:type="dxa"/>
          <w:right w:w="72" w:type="dxa"/>
        </w:tblCellMar>
        <w:tblLook w:val="0000" w:firstRow="0" w:lastRow="0" w:firstColumn="0" w:lastColumn="0" w:noHBand="0" w:noVBand="0"/>
      </w:tblPr>
      <w:tblGrid>
        <w:gridCol w:w="5937"/>
        <w:gridCol w:w="1294"/>
        <w:gridCol w:w="1294"/>
        <w:gridCol w:w="1292"/>
      </w:tblGrid>
      <w:tr w:rsidR="00202E1C" w:rsidRPr="00D079C7" w14:paraId="1E110674" w14:textId="77777777">
        <w:trPr>
          <w:cantSplit/>
          <w:jc w:val="center"/>
        </w:trPr>
        <w:tc>
          <w:tcPr>
            <w:tcW w:w="3024" w:type="pct"/>
            <w:vAlign w:val="bottom"/>
          </w:tcPr>
          <w:p w14:paraId="7FED7E15" w14:textId="77777777" w:rsidR="00202E1C" w:rsidRPr="002F3885" w:rsidRDefault="00202E1C"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 w:val="18"/>
                <w:szCs w:val="18"/>
                <w:lang w:val="en-US"/>
              </w:rPr>
            </w:pPr>
          </w:p>
        </w:tc>
        <w:tc>
          <w:tcPr>
            <w:tcW w:w="659" w:type="pct"/>
            <w:vAlign w:val="bottom"/>
          </w:tcPr>
          <w:p w14:paraId="550AFBA4" w14:textId="77777777" w:rsidR="00202E1C" w:rsidRDefault="00202E1C"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BB563A">
              <w:rPr>
                <w:b/>
                <w:bCs/>
                <w:sz w:val="16"/>
                <w:szCs w:val="18"/>
                <w:lang w:val="en-US"/>
              </w:rPr>
              <w:t>5</w:t>
            </w:r>
            <w:r w:rsidRPr="002F3885">
              <w:rPr>
                <w:b/>
                <w:bCs/>
                <w:sz w:val="16"/>
                <w:szCs w:val="18"/>
                <w:lang w:val="en-US"/>
              </w:rPr>
              <w:br/>
              <w:t>Pence</w:t>
            </w:r>
          </w:p>
          <w:p w14:paraId="2164A0EA" w14:textId="77777777" w:rsidR="00D079C7" w:rsidRDefault="00D079C7"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9" w:type="pct"/>
            <w:vAlign w:val="bottom"/>
          </w:tcPr>
          <w:p w14:paraId="2C7DFEC9" w14:textId="77777777" w:rsidR="00202E1C" w:rsidRDefault="00DE182D"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sidR="00202E1C">
              <w:rPr>
                <w:b/>
                <w:bCs/>
                <w:sz w:val="16"/>
                <w:szCs w:val="18"/>
                <w:lang w:val="en-US"/>
              </w:rPr>
              <w:br/>
              <w:t>ended</w:t>
            </w:r>
            <w:r w:rsidR="00202E1C">
              <w:rPr>
                <w:b/>
                <w:bCs/>
                <w:sz w:val="16"/>
                <w:szCs w:val="18"/>
                <w:lang w:val="en-US"/>
              </w:rPr>
              <w:br/>
              <w:t>30 June</w:t>
            </w:r>
            <w:r w:rsidR="00202E1C">
              <w:rPr>
                <w:b/>
                <w:bCs/>
                <w:sz w:val="16"/>
                <w:szCs w:val="18"/>
                <w:lang w:val="en-US"/>
              </w:rPr>
              <w:br/>
              <w:t>201</w:t>
            </w:r>
            <w:r w:rsidR="00BB563A">
              <w:rPr>
                <w:b/>
                <w:bCs/>
                <w:sz w:val="16"/>
                <w:szCs w:val="18"/>
                <w:lang w:val="en-US"/>
              </w:rPr>
              <w:t>4</w:t>
            </w:r>
            <w:r w:rsidR="00202E1C" w:rsidRPr="002F3885">
              <w:rPr>
                <w:b/>
                <w:bCs/>
                <w:sz w:val="16"/>
                <w:szCs w:val="18"/>
                <w:lang w:val="en-US"/>
              </w:rPr>
              <w:br/>
              <w:t>Pence</w:t>
            </w:r>
          </w:p>
          <w:p w14:paraId="78A42D52" w14:textId="77777777" w:rsidR="00D079C7" w:rsidRDefault="00D079C7"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58" w:type="pct"/>
            <w:vAlign w:val="bottom"/>
          </w:tcPr>
          <w:p w14:paraId="4D6BADDB" w14:textId="77777777" w:rsidR="00202E1C" w:rsidRDefault="00202E1C"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w:t>
            </w:r>
            <w:r>
              <w:rPr>
                <w:b/>
                <w:bCs/>
                <w:sz w:val="16"/>
                <w:szCs w:val="18"/>
                <w:lang w:val="en-US"/>
              </w:rPr>
              <w:br/>
              <w:t>ended</w:t>
            </w:r>
            <w:r>
              <w:rPr>
                <w:b/>
                <w:bCs/>
                <w:sz w:val="16"/>
                <w:szCs w:val="18"/>
                <w:lang w:val="en-US"/>
              </w:rPr>
              <w:br/>
              <w:t>31 December</w:t>
            </w:r>
            <w:r>
              <w:rPr>
                <w:b/>
                <w:bCs/>
                <w:sz w:val="16"/>
                <w:szCs w:val="18"/>
                <w:lang w:val="en-US"/>
              </w:rPr>
              <w:br/>
              <w:t>201</w:t>
            </w:r>
            <w:r w:rsidR="00BB563A">
              <w:rPr>
                <w:b/>
                <w:bCs/>
                <w:sz w:val="16"/>
                <w:szCs w:val="18"/>
                <w:lang w:val="en-US"/>
              </w:rPr>
              <w:t>4</w:t>
            </w:r>
            <w:r w:rsidRPr="002F3885">
              <w:rPr>
                <w:b/>
                <w:bCs/>
                <w:sz w:val="16"/>
                <w:szCs w:val="18"/>
                <w:lang w:val="en-US"/>
              </w:rPr>
              <w:br/>
              <w:t>Pence</w:t>
            </w:r>
          </w:p>
          <w:p w14:paraId="36F98932" w14:textId="77777777" w:rsidR="00D079C7" w:rsidRPr="00D079C7" w:rsidRDefault="00D079C7"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D079C7">
              <w:rPr>
                <w:b/>
                <w:bCs/>
                <w:sz w:val="16"/>
                <w:szCs w:val="18"/>
                <w:lang w:val="en-US"/>
              </w:rPr>
              <w:t>Audited</w:t>
            </w:r>
          </w:p>
        </w:tc>
      </w:tr>
      <w:tr w:rsidR="00BB563A" w:rsidRPr="002F3885" w14:paraId="1BF1E018" w14:textId="77777777">
        <w:trPr>
          <w:cantSplit/>
          <w:jc w:val="center"/>
        </w:trPr>
        <w:tc>
          <w:tcPr>
            <w:tcW w:w="3024" w:type="pct"/>
          </w:tcPr>
          <w:p w14:paraId="0E3147F7" w14:textId="77777777" w:rsidR="00BB563A" w:rsidRPr="00A30692" w:rsidRDefault="00BB563A" w:rsidP="009D1134">
            <w:pPr>
              <w:widowControl/>
              <w:tabs>
                <w:tab w:val="right" w:leader="dot" w:pos="4540"/>
              </w:tabs>
              <w:suppressAutoHyphens/>
              <w:spacing w:after="20"/>
              <w:ind w:left="200" w:hanging="200"/>
              <w:rPr>
                <w:lang w:val="en-US"/>
              </w:rPr>
            </w:pPr>
            <w:r w:rsidRPr="00A30692">
              <w:rPr>
                <w:lang w:val="en-US"/>
              </w:rPr>
              <w:t>Basic</w:t>
            </w:r>
            <w:r w:rsidRPr="00A30692">
              <w:rPr>
                <w:lang w:val="en-US"/>
              </w:rPr>
              <w:tab/>
            </w:r>
          </w:p>
        </w:tc>
        <w:tc>
          <w:tcPr>
            <w:tcW w:w="659" w:type="pct"/>
            <w:vAlign w:val="bottom"/>
          </w:tcPr>
          <w:p w14:paraId="13A28E93" w14:textId="77777777" w:rsidR="00BB563A" w:rsidRDefault="005E5622" w:rsidP="0061256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w:t>
            </w:r>
            <w:r w:rsidR="00CC7DAF">
              <w:rPr>
                <w:lang w:val="en-US"/>
              </w:rPr>
              <w:t>5</w:t>
            </w:r>
            <w:r w:rsidR="00612561">
              <w:rPr>
                <w:lang w:val="en-US"/>
              </w:rPr>
              <w:t>8</w:t>
            </w:r>
            <w:r>
              <w:rPr>
                <w:lang w:val="en-US"/>
              </w:rPr>
              <w:t>)</w:t>
            </w:r>
          </w:p>
        </w:tc>
        <w:tc>
          <w:tcPr>
            <w:tcW w:w="659" w:type="pct"/>
            <w:vAlign w:val="bottom"/>
          </w:tcPr>
          <w:p w14:paraId="5E444796" w14:textId="77777777" w:rsidR="00BB563A" w:rsidRDefault="00BB563A"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(1.63)</w:t>
            </w:r>
          </w:p>
        </w:tc>
        <w:tc>
          <w:tcPr>
            <w:tcW w:w="658" w:type="pct"/>
            <w:vAlign w:val="bottom"/>
          </w:tcPr>
          <w:p w14:paraId="7C7B2971" w14:textId="77777777" w:rsidR="00BB563A" w:rsidRPr="00A30692" w:rsidRDefault="00374BA5" w:rsidP="00A3069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(4.66)</w:t>
            </w:r>
          </w:p>
        </w:tc>
      </w:tr>
      <w:tr w:rsidR="00BB563A" w:rsidRPr="002F3885" w14:paraId="4F095F3B" w14:textId="77777777">
        <w:trPr>
          <w:cantSplit/>
          <w:jc w:val="center"/>
        </w:trPr>
        <w:tc>
          <w:tcPr>
            <w:tcW w:w="3024" w:type="pct"/>
          </w:tcPr>
          <w:p w14:paraId="292EBEEE" w14:textId="77777777" w:rsidR="00BB563A" w:rsidRPr="00A30692" w:rsidRDefault="00BB563A" w:rsidP="00E010B8">
            <w:pPr>
              <w:widowControl/>
              <w:tabs>
                <w:tab w:val="right" w:leader="dot" w:pos="4540"/>
              </w:tabs>
              <w:suppressAutoHyphens/>
              <w:spacing w:after="20"/>
              <w:ind w:left="200" w:hanging="200"/>
              <w:rPr>
                <w:lang w:val="en-US"/>
              </w:rPr>
            </w:pPr>
            <w:r>
              <w:rPr>
                <w:lang w:val="en-US"/>
              </w:rPr>
              <w:t>Diluted</w:t>
            </w:r>
            <w:r w:rsidRPr="00A30692">
              <w:rPr>
                <w:lang w:val="en-US"/>
              </w:rPr>
              <w:tab/>
            </w:r>
          </w:p>
        </w:tc>
        <w:tc>
          <w:tcPr>
            <w:tcW w:w="659" w:type="pct"/>
            <w:vAlign w:val="bottom"/>
          </w:tcPr>
          <w:p w14:paraId="015F6B82" w14:textId="77777777" w:rsidR="00BB563A" w:rsidRDefault="003928C6" w:rsidP="00CC7DAF">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w:t>
            </w:r>
            <w:r w:rsidR="00CC7DAF">
              <w:rPr>
                <w:lang w:val="en-US"/>
              </w:rPr>
              <w:t>5</w:t>
            </w:r>
            <w:r w:rsidR="00612561">
              <w:rPr>
                <w:lang w:val="en-US"/>
              </w:rPr>
              <w:t>8</w:t>
            </w:r>
            <w:r w:rsidR="005E5622">
              <w:rPr>
                <w:lang w:val="en-US"/>
              </w:rPr>
              <w:t>)</w:t>
            </w:r>
          </w:p>
        </w:tc>
        <w:tc>
          <w:tcPr>
            <w:tcW w:w="659" w:type="pct"/>
            <w:vAlign w:val="bottom"/>
          </w:tcPr>
          <w:p w14:paraId="44AC12CC" w14:textId="77777777" w:rsidR="00BB563A" w:rsidRDefault="00BB563A"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(1.63)</w:t>
            </w:r>
          </w:p>
        </w:tc>
        <w:tc>
          <w:tcPr>
            <w:tcW w:w="658" w:type="pct"/>
            <w:vAlign w:val="bottom"/>
          </w:tcPr>
          <w:p w14:paraId="1859FB46" w14:textId="77777777" w:rsidR="00BB563A" w:rsidRPr="00A30692" w:rsidRDefault="00374BA5"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(4.66)</w:t>
            </w:r>
          </w:p>
        </w:tc>
      </w:tr>
    </w:tbl>
    <w:p w14:paraId="35973A1E" w14:textId="77777777" w:rsidR="009D1134"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both"/>
        <w:rPr>
          <w:lang w:val="en-US"/>
        </w:rPr>
      </w:pPr>
    </w:p>
    <w:tbl>
      <w:tblPr>
        <w:tblW w:w="5157" w:type="pct"/>
        <w:jc w:val="center"/>
        <w:tblCellMar>
          <w:left w:w="72" w:type="dxa"/>
          <w:right w:w="72" w:type="dxa"/>
        </w:tblCellMar>
        <w:tblLook w:val="0000" w:firstRow="0" w:lastRow="0" w:firstColumn="0" w:lastColumn="0" w:noHBand="0" w:noVBand="0"/>
      </w:tblPr>
      <w:tblGrid>
        <w:gridCol w:w="5327"/>
        <w:gridCol w:w="1541"/>
        <w:gridCol w:w="1541"/>
        <w:gridCol w:w="1536"/>
      </w:tblGrid>
      <w:tr w:rsidR="00202E1C" w:rsidRPr="002F3885" w14:paraId="2BAC50D2" w14:textId="77777777" w:rsidTr="00BB563A">
        <w:trPr>
          <w:cantSplit/>
          <w:trHeight w:val="1086"/>
          <w:jc w:val="center"/>
        </w:trPr>
        <w:tc>
          <w:tcPr>
            <w:tcW w:w="2678" w:type="pct"/>
            <w:vAlign w:val="bottom"/>
          </w:tcPr>
          <w:p w14:paraId="059D6905" w14:textId="77777777" w:rsidR="00202E1C" w:rsidRPr="002F3885" w:rsidRDefault="00202E1C" w:rsidP="009D1134">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lang w:val="en-US"/>
              </w:rPr>
            </w:pPr>
            <w:r w:rsidRPr="002F3885">
              <w:rPr>
                <w:b/>
                <w:bCs/>
                <w:sz w:val="16"/>
                <w:szCs w:val="18"/>
                <w:lang w:val="en-US"/>
              </w:rPr>
              <w:t>Earnings</w:t>
            </w:r>
          </w:p>
        </w:tc>
        <w:tc>
          <w:tcPr>
            <w:tcW w:w="775" w:type="pct"/>
            <w:vAlign w:val="bottom"/>
          </w:tcPr>
          <w:p w14:paraId="02D28950" w14:textId="77777777" w:rsidR="00202E1C" w:rsidRDefault="00202E1C"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BB563A">
              <w:rPr>
                <w:b/>
                <w:bCs/>
                <w:sz w:val="16"/>
                <w:szCs w:val="18"/>
                <w:lang w:val="en-US"/>
              </w:rPr>
              <w:t>5</w:t>
            </w:r>
            <w:r w:rsidRPr="002F3885">
              <w:rPr>
                <w:b/>
                <w:bCs/>
                <w:sz w:val="16"/>
                <w:szCs w:val="18"/>
                <w:lang w:val="en-US"/>
              </w:rPr>
              <w:br/>
            </w:r>
            <w:r>
              <w:rPr>
                <w:b/>
                <w:bCs/>
                <w:sz w:val="16"/>
                <w:szCs w:val="18"/>
                <w:lang w:val="en-US"/>
              </w:rPr>
              <w:t>£’</w:t>
            </w:r>
            <w:r w:rsidRPr="002F3885">
              <w:rPr>
                <w:b/>
                <w:bCs/>
                <w:sz w:val="16"/>
                <w:szCs w:val="18"/>
                <w:lang w:val="en-US"/>
              </w:rPr>
              <w:t>000</w:t>
            </w:r>
          </w:p>
          <w:p w14:paraId="61EA60C8" w14:textId="77777777" w:rsidR="00D079C7" w:rsidRDefault="00D079C7"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775" w:type="pct"/>
            <w:vAlign w:val="bottom"/>
          </w:tcPr>
          <w:p w14:paraId="778FC4A1" w14:textId="77777777" w:rsidR="00202E1C" w:rsidRDefault="00202E1C" w:rsidP="00410B8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BB563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61773B83" w14:textId="77777777" w:rsidR="00D079C7" w:rsidRDefault="00D079C7" w:rsidP="00410B8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772" w:type="pct"/>
            <w:vAlign w:val="bottom"/>
          </w:tcPr>
          <w:p w14:paraId="36330781" w14:textId="77777777" w:rsidR="00202E1C" w:rsidRDefault="00202E1C"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w:t>
            </w:r>
            <w:r>
              <w:rPr>
                <w:b/>
                <w:bCs/>
                <w:sz w:val="16"/>
                <w:szCs w:val="18"/>
                <w:lang w:val="en-US"/>
              </w:rPr>
              <w:br/>
              <w:t>ended</w:t>
            </w:r>
            <w:r>
              <w:rPr>
                <w:b/>
                <w:bCs/>
                <w:sz w:val="16"/>
                <w:szCs w:val="18"/>
                <w:lang w:val="en-US"/>
              </w:rPr>
              <w:br/>
              <w:t>31 December</w:t>
            </w:r>
            <w:r>
              <w:rPr>
                <w:b/>
                <w:bCs/>
                <w:sz w:val="16"/>
                <w:szCs w:val="18"/>
                <w:lang w:val="en-US"/>
              </w:rPr>
              <w:br/>
              <w:t>201</w:t>
            </w:r>
            <w:r w:rsidR="00BB563A">
              <w:rPr>
                <w:b/>
                <w:bCs/>
                <w:sz w:val="16"/>
                <w:szCs w:val="18"/>
                <w:lang w:val="en-US"/>
              </w:rPr>
              <w:t>4</w:t>
            </w:r>
            <w:r w:rsidRPr="002F3885">
              <w:rPr>
                <w:b/>
                <w:bCs/>
                <w:sz w:val="16"/>
                <w:szCs w:val="18"/>
                <w:lang w:val="en-US"/>
              </w:rPr>
              <w:br/>
            </w:r>
            <w:r>
              <w:rPr>
                <w:b/>
                <w:bCs/>
                <w:sz w:val="16"/>
                <w:szCs w:val="18"/>
                <w:lang w:val="en-US"/>
              </w:rPr>
              <w:t>£’</w:t>
            </w:r>
            <w:r w:rsidRPr="002F3885">
              <w:rPr>
                <w:b/>
                <w:bCs/>
                <w:sz w:val="16"/>
                <w:szCs w:val="18"/>
                <w:lang w:val="en-US"/>
              </w:rPr>
              <w:t>000</w:t>
            </w:r>
          </w:p>
          <w:p w14:paraId="5EB39D74" w14:textId="77777777" w:rsidR="00D079C7" w:rsidRPr="00D079C7" w:rsidRDefault="00D079C7"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sidRPr="00D079C7">
              <w:rPr>
                <w:b/>
                <w:bCs/>
                <w:sz w:val="16"/>
                <w:szCs w:val="18"/>
                <w:lang w:val="en-US"/>
              </w:rPr>
              <w:t>Audited</w:t>
            </w:r>
          </w:p>
        </w:tc>
      </w:tr>
      <w:tr w:rsidR="00BB563A" w:rsidRPr="002F3885" w14:paraId="1B3770AC" w14:textId="77777777" w:rsidTr="00BB563A">
        <w:trPr>
          <w:cantSplit/>
          <w:trHeight w:val="310"/>
          <w:jc w:val="center"/>
        </w:trPr>
        <w:tc>
          <w:tcPr>
            <w:tcW w:w="2678" w:type="pct"/>
          </w:tcPr>
          <w:p w14:paraId="0CA54E6D" w14:textId="77777777" w:rsidR="00BB563A" w:rsidRPr="002F3885" w:rsidRDefault="00BB563A" w:rsidP="00612561">
            <w:pPr>
              <w:widowControl/>
              <w:tabs>
                <w:tab w:val="right" w:leader="dot" w:pos="4540"/>
              </w:tabs>
              <w:suppressAutoHyphens/>
              <w:spacing w:after="20"/>
              <w:ind w:left="200" w:hanging="200"/>
              <w:rPr>
                <w:lang w:val="en-US"/>
              </w:rPr>
            </w:pPr>
            <w:r>
              <w:rPr>
                <w:lang w:val="en-US"/>
              </w:rPr>
              <w:t>(Loss)</w:t>
            </w:r>
            <w:r w:rsidRPr="002F3885">
              <w:rPr>
                <w:lang w:val="en-US"/>
              </w:rPr>
              <w:t xml:space="preserve"> for the </w:t>
            </w:r>
            <w:r>
              <w:rPr>
                <w:lang w:val="en-US"/>
              </w:rPr>
              <w:t>period</w:t>
            </w:r>
            <w:r w:rsidRPr="002F3885">
              <w:rPr>
                <w:lang w:val="en-US"/>
              </w:rPr>
              <w:tab/>
            </w:r>
          </w:p>
        </w:tc>
        <w:tc>
          <w:tcPr>
            <w:tcW w:w="775" w:type="pct"/>
            <w:vAlign w:val="bottom"/>
          </w:tcPr>
          <w:p w14:paraId="3CBE5FAC" w14:textId="77777777" w:rsidR="00BB563A" w:rsidRDefault="005E5622" w:rsidP="0061256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w:t>
            </w:r>
            <w:r w:rsidR="00612561">
              <w:rPr>
                <w:lang w:val="en-US"/>
              </w:rPr>
              <w:t>562</w:t>
            </w:r>
            <w:r>
              <w:rPr>
                <w:lang w:val="en-US"/>
              </w:rPr>
              <w:t>)</w:t>
            </w:r>
          </w:p>
        </w:tc>
        <w:tc>
          <w:tcPr>
            <w:tcW w:w="775" w:type="pct"/>
            <w:vAlign w:val="bottom"/>
          </w:tcPr>
          <w:p w14:paraId="6E692C89" w14:textId="77777777" w:rsidR="00BB563A" w:rsidRDefault="00BB563A" w:rsidP="00AF567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(908)</w:t>
            </w:r>
          </w:p>
        </w:tc>
        <w:tc>
          <w:tcPr>
            <w:tcW w:w="772" w:type="pct"/>
            <w:vAlign w:val="bottom"/>
          </w:tcPr>
          <w:p w14:paraId="53DE88EB" w14:textId="77777777" w:rsidR="00BB563A" w:rsidRPr="002F3885" w:rsidRDefault="00374BA5" w:rsidP="00977910">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(2,602)</w:t>
            </w:r>
          </w:p>
        </w:tc>
      </w:tr>
    </w:tbl>
    <w:p w14:paraId="38EA2D08" w14:textId="77777777" w:rsidR="009D1134" w:rsidRPr="002F3885" w:rsidRDefault="009D1134" w:rsidP="009D113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both"/>
        <w:rPr>
          <w:lang w:val="en-US"/>
        </w:rPr>
      </w:pPr>
    </w:p>
    <w:tbl>
      <w:tblPr>
        <w:tblW w:w="5163" w:type="pct"/>
        <w:jc w:val="center"/>
        <w:tblCellMar>
          <w:left w:w="72" w:type="dxa"/>
          <w:right w:w="72" w:type="dxa"/>
        </w:tblCellMar>
        <w:tblLook w:val="0000" w:firstRow="0" w:lastRow="0" w:firstColumn="0" w:lastColumn="0" w:noHBand="0" w:noVBand="0"/>
      </w:tblPr>
      <w:tblGrid>
        <w:gridCol w:w="5651"/>
        <w:gridCol w:w="1366"/>
        <w:gridCol w:w="1366"/>
        <w:gridCol w:w="1573"/>
      </w:tblGrid>
      <w:tr w:rsidR="00202E1C" w:rsidRPr="002F3885" w14:paraId="141D85D9" w14:textId="77777777">
        <w:trPr>
          <w:cantSplit/>
          <w:trHeight w:val="1164"/>
          <w:jc w:val="center"/>
        </w:trPr>
        <w:tc>
          <w:tcPr>
            <w:tcW w:w="2838" w:type="pct"/>
            <w:tcBorders>
              <w:top w:val="nil"/>
              <w:left w:val="nil"/>
              <w:bottom w:val="nil"/>
              <w:right w:val="nil"/>
            </w:tcBorders>
            <w:vAlign w:val="bottom"/>
          </w:tcPr>
          <w:p w14:paraId="0ACE6EBE" w14:textId="77777777" w:rsidR="00202E1C" w:rsidRPr="002F3885" w:rsidRDefault="00202E1C" w:rsidP="00CF6125">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rPr>
                <w:b/>
                <w:bCs/>
                <w:sz w:val="18"/>
                <w:szCs w:val="18"/>
                <w:lang w:val="en-US"/>
              </w:rPr>
            </w:pPr>
            <w:r w:rsidRPr="002F3885">
              <w:rPr>
                <w:b/>
                <w:bCs/>
                <w:sz w:val="16"/>
                <w:szCs w:val="18"/>
                <w:lang w:val="en-US"/>
              </w:rPr>
              <w:t>Denominator</w:t>
            </w:r>
          </w:p>
        </w:tc>
        <w:tc>
          <w:tcPr>
            <w:tcW w:w="686" w:type="pct"/>
            <w:tcBorders>
              <w:top w:val="nil"/>
              <w:left w:val="nil"/>
              <w:bottom w:val="nil"/>
              <w:right w:val="nil"/>
            </w:tcBorders>
            <w:vAlign w:val="bottom"/>
          </w:tcPr>
          <w:p w14:paraId="2C7B128A" w14:textId="77777777" w:rsidR="00202E1C" w:rsidRDefault="00202E1C"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BB563A">
              <w:rPr>
                <w:b/>
                <w:bCs/>
                <w:sz w:val="16"/>
                <w:szCs w:val="18"/>
                <w:lang w:val="en-US"/>
              </w:rPr>
              <w:t>5</w:t>
            </w:r>
            <w:r w:rsidRPr="002F3885">
              <w:rPr>
                <w:b/>
                <w:bCs/>
                <w:sz w:val="16"/>
                <w:szCs w:val="18"/>
                <w:lang w:val="en-US"/>
              </w:rPr>
              <w:br/>
              <w:t>Number</w:t>
            </w:r>
          </w:p>
          <w:p w14:paraId="088315B9" w14:textId="77777777" w:rsidR="00D079C7" w:rsidRDefault="00D079C7"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686" w:type="pct"/>
            <w:tcBorders>
              <w:top w:val="nil"/>
              <w:left w:val="nil"/>
              <w:bottom w:val="nil"/>
              <w:right w:val="nil"/>
            </w:tcBorders>
            <w:vAlign w:val="bottom"/>
          </w:tcPr>
          <w:p w14:paraId="27E508AA" w14:textId="77777777" w:rsidR="00202E1C" w:rsidRDefault="00202E1C"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Period</w:t>
            </w:r>
            <w:r>
              <w:rPr>
                <w:b/>
                <w:bCs/>
                <w:sz w:val="16"/>
                <w:szCs w:val="18"/>
                <w:lang w:val="en-US"/>
              </w:rPr>
              <w:br/>
              <w:t>ended</w:t>
            </w:r>
            <w:r>
              <w:rPr>
                <w:b/>
                <w:bCs/>
                <w:sz w:val="16"/>
                <w:szCs w:val="18"/>
                <w:lang w:val="en-US"/>
              </w:rPr>
              <w:br/>
              <w:t>30 June</w:t>
            </w:r>
            <w:r>
              <w:rPr>
                <w:b/>
                <w:bCs/>
                <w:sz w:val="16"/>
                <w:szCs w:val="18"/>
                <w:lang w:val="en-US"/>
              </w:rPr>
              <w:br/>
              <w:t>201</w:t>
            </w:r>
            <w:r w:rsidR="00BB563A">
              <w:rPr>
                <w:b/>
                <w:bCs/>
                <w:sz w:val="16"/>
                <w:szCs w:val="18"/>
                <w:lang w:val="en-US"/>
              </w:rPr>
              <w:t>4</w:t>
            </w:r>
            <w:r w:rsidRPr="002F3885">
              <w:rPr>
                <w:b/>
                <w:bCs/>
                <w:sz w:val="16"/>
                <w:szCs w:val="18"/>
                <w:lang w:val="en-US"/>
              </w:rPr>
              <w:br/>
              <w:t>Number</w:t>
            </w:r>
          </w:p>
          <w:p w14:paraId="188A2CEA" w14:textId="77777777" w:rsidR="00D079C7" w:rsidRDefault="00D079C7" w:rsidP="00202E1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Unaudited</w:t>
            </w:r>
          </w:p>
        </w:tc>
        <w:tc>
          <w:tcPr>
            <w:tcW w:w="790" w:type="pct"/>
            <w:tcBorders>
              <w:top w:val="nil"/>
              <w:left w:val="nil"/>
              <w:bottom w:val="nil"/>
              <w:right w:val="nil"/>
            </w:tcBorders>
            <w:vAlign w:val="bottom"/>
          </w:tcPr>
          <w:p w14:paraId="07E9C79B" w14:textId="77777777" w:rsidR="00202E1C" w:rsidRDefault="00202E1C"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6"/>
                <w:szCs w:val="18"/>
                <w:lang w:val="en-US"/>
              </w:rPr>
            </w:pPr>
            <w:r>
              <w:rPr>
                <w:b/>
                <w:bCs/>
                <w:sz w:val="16"/>
                <w:szCs w:val="18"/>
                <w:lang w:val="en-US"/>
              </w:rPr>
              <w:t>Year</w:t>
            </w:r>
            <w:r>
              <w:rPr>
                <w:b/>
                <w:bCs/>
                <w:sz w:val="16"/>
                <w:szCs w:val="18"/>
                <w:lang w:val="en-US"/>
              </w:rPr>
              <w:br/>
              <w:t>ended</w:t>
            </w:r>
            <w:r>
              <w:rPr>
                <w:b/>
                <w:bCs/>
                <w:sz w:val="16"/>
                <w:szCs w:val="18"/>
                <w:lang w:val="en-US"/>
              </w:rPr>
              <w:br/>
              <w:t>31 December</w:t>
            </w:r>
            <w:r>
              <w:rPr>
                <w:b/>
                <w:bCs/>
                <w:sz w:val="16"/>
                <w:szCs w:val="18"/>
                <w:lang w:val="en-US"/>
              </w:rPr>
              <w:br/>
              <w:t>201</w:t>
            </w:r>
            <w:r w:rsidR="00BB563A">
              <w:rPr>
                <w:b/>
                <w:bCs/>
                <w:sz w:val="16"/>
                <w:szCs w:val="18"/>
                <w:lang w:val="en-US"/>
              </w:rPr>
              <w:t>4</w:t>
            </w:r>
            <w:r w:rsidRPr="002F3885">
              <w:rPr>
                <w:b/>
                <w:bCs/>
                <w:sz w:val="16"/>
                <w:szCs w:val="18"/>
                <w:lang w:val="en-US"/>
              </w:rPr>
              <w:br/>
              <w:t>Number</w:t>
            </w:r>
          </w:p>
          <w:p w14:paraId="2E9B3A6F" w14:textId="77777777" w:rsidR="00D079C7" w:rsidRPr="002F3885" w:rsidRDefault="00D079C7" w:rsidP="008B51A6">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b/>
                <w:bCs/>
                <w:sz w:val="18"/>
                <w:szCs w:val="18"/>
                <w:lang w:val="en-US"/>
              </w:rPr>
            </w:pPr>
            <w:r>
              <w:rPr>
                <w:b/>
                <w:bCs/>
                <w:sz w:val="16"/>
                <w:szCs w:val="18"/>
                <w:lang w:val="en-US"/>
              </w:rPr>
              <w:t>Audited</w:t>
            </w:r>
          </w:p>
        </w:tc>
      </w:tr>
      <w:tr w:rsidR="00BB563A" w:rsidRPr="002F3885" w14:paraId="17546746" w14:textId="77777777">
        <w:trPr>
          <w:cantSplit/>
          <w:trHeight w:val="314"/>
          <w:jc w:val="center"/>
        </w:trPr>
        <w:tc>
          <w:tcPr>
            <w:tcW w:w="2838" w:type="pct"/>
            <w:tcBorders>
              <w:top w:val="nil"/>
              <w:left w:val="nil"/>
              <w:bottom w:val="nil"/>
              <w:right w:val="nil"/>
            </w:tcBorders>
          </w:tcPr>
          <w:p w14:paraId="4BA4A149" w14:textId="77777777" w:rsidR="00BB563A" w:rsidRPr="00A30692" w:rsidRDefault="00BB563A" w:rsidP="00E010B8">
            <w:pPr>
              <w:widowControl/>
              <w:tabs>
                <w:tab w:val="right" w:leader="dot" w:pos="4540"/>
              </w:tabs>
              <w:suppressAutoHyphens/>
              <w:spacing w:after="20"/>
              <w:ind w:left="200" w:hanging="200"/>
              <w:rPr>
                <w:lang w:val="en-US"/>
              </w:rPr>
            </w:pPr>
            <w:r w:rsidRPr="00A30692">
              <w:rPr>
                <w:lang w:val="en-US"/>
              </w:rPr>
              <w:t>Weighted average number of equity shares</w:t>
            </w:r>
            <w:r>
              <w:rPr>
                <w:lang w:val="en-US"/>
              </w:rPr>
              <w:t xml:space="preserve"> (basic)</w:t>
            </w:r>
            <w:r w:rsidRPr="00A30692">
              <w:rPr>
                <w:lang w:val="en-US"/>
              </w:rPr>
              <w:tab/>
            </w:r>
          </w:p>
        </w:tc>
        <w:tc>
          <w:tcPr>
            <w:tcW w:w="686" w:type="pct"/>
            <w:tcBorders>
              <w:top w:val="nil"/>
              <w:left w:val="nil"/>
              <w:bottom w:val="nil"/>
              <w:right w:val="nil"/>
            </w:tcBorders>
            <w:vAlign w:val="bottom"/>
          </w:tcPr>
          <w:p w14:paraId="05CC43FE" w14:textId="77777777" w:rsidR="00BB563A" w:rsidRDefault="005E5622" w:rsidP="0061256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55,8</w:t>
            </w:r>
            <w:r w:rsidR="00612561">
              <w:rPr>
                <w:lang w:val="en-US"/>
              </w:rPr>
              <w:t>82,536</w:t>
            </w:r>
          </w:p>
        </w:tc>
        <w:tc>
          <w:tcPr>
            <w:tcW w:w="686" w:type="pct"/>
            <w:tcBorders>
              <w:top w:val="nil"/>
              <w:left w:val="nil"/>
              <w:bottom w:val="nil"/>
              <w:right w:val="nil"/>
            </w:tcBorders>
            <w:vAlign w:val="bottom"/>
          </w:tcPr>
          <w:p w14:paraId="08590BEB" w14:textId="77777777" w:rsidR="00BB563A" w:rsidRDefault="00BB563A" w:rsidP="00615D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w:t>
            </w:r>
            <w:r w:rsidR="00615DAC">
              <w:rPr>
                <w:lang w:val="en-US"/>
              </w:rPr>
              <w:t>8</w:t>
            </w:r>
            <w:r w:rsidR="00612561">
              <w:rPr>
                <w:lang w:val="en-US"/>
              </w:rPr>
              <w:t>4</w:t>
            </w:r>
            <w:r w:rsidR="00615DAC">
              <w:rPr>
                <w:lang w:val="en-US"/>
              </w:rPr>
              <w:t>5</w:t>
            </w:r>
            <w:r w:rsidR="00612561">
              <w:rPr>
                <w:lang w:val="en-US"/>
              </w:rPr>
              <w:t>,</w:t>
            </w:r>
            <w:r w:rsidR="00615DAC">
              <w:rPr>
                <w:lang w:val="en-US"/>
              </w:rPr>
              <w:t>396</w:t>
            </w:r>
          </w:p>
        </w:tc>
        <w:tc>
          <w:tcPr>
            <w:tcW w:w="790" w:type="pct"/>
            <w:tcBorders>
              <w:top w:val="nil"/>
              <w:left w:val="nil"/>
              <w:bottom w:val="nil"/>
              <w:right w:val="nil"/>
            </w:tcBorders>
            <w:vAlign w:val="bottom"/>
          </w:tcPr>
          <w:p w14:paraId="5B2AE307" w14:textId="77777777" w:rsidR="00BB563A" w:rsidRPr="00A30692" w:rsidRDefault="00374BA5" w:rsidP="00E010B8">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55,864,119</w:t>
            </w:r>
          </w:p>
        </w:tc>
      </w:tr>
      <w:tr w:rsidR="00BB563A" w:rsidRPr="002F3885" w14:paraId="1A60E075" w14:textId="77777777">
        <w:trPr>
          <w:cantSplit/>
          <w:trHeight w:val="314"/>
          <w:jc w:val="center"/>
        </w:trPr>
        <w:tc>
          <w:tcPr>
            <w:tcW w:w="2838" w:type="pct"/>
            <w:tcBorders>
              <w:top w:val="nil"/>
              <w:left w:val="nil"/>
              <w:bottom w:val="nil"/>
              <w:right w:val="nil"/>
            </w:tcBorders>
          </w:tcPr>
          <w:p w14:paraId="1C0AB934" w14:textId="77777777" w:rsidR="00BB563A" w:rsidRPr="00A30692" w:rsidRDefault="00BB563A" w:rsidP="009D1134">
            <w:pPr>
              <w:widowControl/>
              <w:tabs>
                <w:tab w:val="right" w:leader="dot" w:pos="4540"/>
              </w:tabs>
              <w:suppressAutoHyphens/>
              <w:spacing w:after="20"/>
              <w:ind w:left="200" w:hanging="200"/>
              <w:rPr>
                <w:lang w:val="en-US"/>
              </w:rPr>
            </w:pPr>
            <w:r w:rsidRPr="00A30692">
              <w:rPr>
                <w:lang w:val="en-US"/>
              </w:rPr>
              <w:t>Weighted average number of equity shares</w:t>
            </w:r>
            <w:r>
              <w:rPr>
                <w:lang w:val="en-US"/>
              </w:rPr>
              <w:t xml:space="preserve"> for diluted EPS</w:t>
            </w:r>
            <w:r w:rsidRPr="00A30692">
              <w:rPr>
                <w:lang w:val="en-US"/>
              </w:rPr>
              <w:tab/>
            </w:r>
          </w:p>
        </w:tc>
        <w:tc>
          <w:tcPr>
            <w:tcW w:w="686" w:type="pct"/>
            <w:tcBorders>
              <w:top w:val="nil"/>
              <w:left w:val="nil"/>
              <w:bottom w:val="nil"/>
              <w:right w:val="nil"/>
            </w:tcBorders>
            <w:vAlign w:val="bottom"/>
          </w:tcPr>
          <w:p w14:paraId="626FD263" w14:textId="77777777" w:rsidR="00BB563A" w:rsidRDefault="005E5622" w:rsidP="00612561">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55,8</w:t>
            </w:r>
            <w:r w:rsidR="00612561">
              <w:rPr>
                <w:lang w:val="en-US"/>
              </w:rPr>
              <w:t>82,536</w:t>
            </w:r>
          </w:p>
        </w:tc>
        <w:tc>
          <w:tcPr>
            <w:tcW w:w="686" w:type="pct"/>
            <w:tcBorders>
              <w:top w:val="nil"/>
              <w:left w:val="nil"/>
              <w:bottom w:val="nil"/>
              <w:right w:val="nil"/>
            </w:tcBorders>
            <w:vAlign w:val="bottom"/>
          </w:tcPr>
          <w:p w14:paraId="76E6F947" w14:textId="77777777" w:rsidR="00BB563A" w:rsidRDefault="006E0061" w:rsidP="00615D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w:t>
            </w:r>
            <w:r w:rsidR="00615DAC">
              <w:rPr>
                <w:lang w:val="en-US"/>
              </w:rPr>
              <w:t>845,396</w:t>
            </w:r>
          </w:p>
        </w:tc>
        <w:tc>
          <w:tcPr>
            <w:tcW w:w="790" w:type="pct"/>
            <w:tcBorders>
              <w:top w:val="nil"/>
              <w:left w:val="nil"/>
              <w:bottom w:val="nil"/>
              <w:right w:val="nil"/>
            </w:tcBorders>
            <w:vAlign w:val="bottom"/>
          </w:tcPr>
          <w:p w14:paraId="15F6066A" w14:textId="77777777" w:rsidR="00BB563A" w:rsidRPr="00A30692" w:rsidRDefault="00374BA5" w:rsidP="00B55DC2">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right"/>
              <w:rPr>
                <w:lang w:val="en-US"/>
              </w:rPr>
            </w:pPr>
            <w:r>
              <w:rPr>
                <w:lang w:val="en-US"/>
              </w:rPr>
              <w:t>55,864,119</w:t>
            </w:r>
          </w:p>
        </w:tc>
      </w:tr>
    </w:tbl>
    <w:p w14:paraId="118FBB14" w14:textId="77777777" w:rsidR="00941984" w:rsidRDefault="00941984" w:rsidP="001169CC">
      <w:pPr>
        <w:widowControl/>
        <w:tabs>
          <w:tab w:val="left" w:pos="-720"/>
          <w:tab w:val="left" w:pos="0"/>
        </w:tabs>
        <w:suppressAutoHyphens/>
        <w:spacing w:before="240" w:after="240"/>
        <w:jc w:val="both"/>
        <w:rPr>
          <w:b/>
          <w:bCs/>
          <w:lang w:val="en-US"/>
        </w:rPr>
      </w:pPr>
    </w:p>
    <w:sectPr w:rsidR="00941984" w:rsidSect="00B57203">
      <w:footerReference w:type="default" r:id="rId11"/>
      <w:pgSz w:w="11906" w:h="16838" w:code="9"/>
      <w:pgMar w:top="1077" w:right="1274" w:bottom="1077" w:left="1134" w:header="403" w:footer="5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2D66" w14:textId="77777777" w:rsidR="00F70C14" w:rsidRDefault="00F70C14">
      <w:r>
        <w:separator/>
      </w:r>
    </w:p>
  </w:endnote>
  <w:endnote w:type="continuationSeparator" w:id="0">
    <w:p w14:paraId="7B504926" w14:textId="77777777" w:rsidR="00F70C14" w:rsidRDefault="00F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FC09" w14:textId="77777777" w:rsidR="00CA5AF2" w:rsidRPr="00B83CAC" w:rsidRDefault="00CA5AF2" w:rsidP="00B83CAC">
    <w:pPr>
      <w:pStyle w:val="Footer"/>
      <w:tabs>
        <w:tab w:val="clear" w:pos="9000"/>
        <w:tab w:val="right" w:pos="9356"/>
      </w:tabs>
      <w:rPr>
        <w:sz w:val="16"/>
      </w:rPr>
    </w:pPr>
    <w:r>
      <w:rPr>
        <w:sz w:val="16"/>
        <w:szCs w:val="24"/>
      </w:rPr>
      <w:t xml:space="preserve">GameAccount Network plc </w:t>
    </w:r>
    <w:r>
      <w:rPr>
        <w:sz w:val="16"/>
        <w:szCs w:val="24"/>
      </w:rPr>
      <w:tab/>
      <w:t>H1 2015</w:t>
    </w:r>
    <w:r w:rsidRPr="00B83CAC">
      <w:rPr>
        <w:sz w:val="16"/>
        <w:szCs w:val="24"/>
      </w:rPr>
      <w:tab/>
      <w:t xml:space="preserve">Page </w:t>
    </w:r>
    <w:r w:rsidRPr="00B83CAC">
      <w:rPr>
        <w:sz w:val="16"/>
        <w:szCs w:val="24"/>
      </w:rPr>
      <w:fldChar w:fldCharType="begin"/>
    </w:r>
    <w:r w:rsidRPr="00B83CAC">
      <w:rPr>
        <w:sz w:val="16"/>
        <w:szCs w:val="24"/>
      </w:rPr>
      <w:instrText xml:space="preserve"> PAGE </w:instrText>
    </w:r>
    <w:r w:rsidRPr="00B83CAC">
      <w:rPr>
        <w:sz w:val="16"/>
        <w:szCs w:val="24"/>
      </w:rPr>
      <w:fldChar w:fldCharType="separate"/>
    </w:r>
    <w:r w:rsidR="00CF6BB3">
      <w:rPr>
        <w:noProof/>
        <w:sz w:val="16"/>
        <w:szCs w:val="24"/>
      </w:rPr>
      <w:t>1</w:t>
    </w:r>
    <w:r w:rsidRPr="00B83CAC">
      <w:rPr>
        <w:sz w:val="16"/>
        <w:szCs w:val="24"/>
      </w:rPr>
      <w:fldChar w:fldCharType="end"/>
    </w:r>
    <w:r w:rsidRPr="00B83CAC">
      <w:rPr>
        <w:sz w:val="16"/>
        <w:szCs w:val="24"/>
      </w:rPr>
      <w:t xml:space="preserve"> of </w:t>
    </w:r>
    <w:r w:rsidRPr="00B83CAC">
      <w:rPr>
        <w:sz w:val="16"/>
        <w:szCs w:val="24"/>
      </w:rPr>
      <w:fldChar w:fldCharType="begin"/>
    </w:r>
    <w:r w:rsidRPr="00B83CAC">
      <w:rPr>
        <w:sz w:val="16"/>
        <w:szCs w:val="24"/>
      </w:rPr>
      <w:instrText xml:space="preserve"> NUMPAGES </w:instrText>
    </w:r>
    <w:r w:rsidRPr="00B83CAC">
      <w:rPr>
        <w:sz w:val="16"/>
        <w:szCs w:val="24"/>
      </w:rPr>
      <w:fldChar w:fldCharType="separate"/>
    </w:r>
    <w:r w:rsidR="00CF6BB3">
      <w:rPr>
        <w:noProof/>
        <w:sz w:val="16"/>
        <w:szCs w:val="24"/>
      </w:rPr>
      <w:t>17</w:t>
    </w:r>
    <w:r w:rsidRPr="00B83CAC">
      <w:rPr>
        <w:sz w:val="16"/>
        <w:szCs w:val="24"/>
      </w:rPr>
      <w:fldChar w:fldCharType="end"/>
    </w:r>
    <w:sdt>
      <w:sdtPr>
        <w:rPr>
          <w:sz w:val="16"/>
        </w:rPr>
        <w:id w:val="7672449"/>
        <w:docPartObj>
          <w:docPartGallery w:val="Page Numbers (Bottom of Page)"/>
          <w:docPartUnique/>
        </w:docPartObj>
      </w:sdtPr>
      <w:sdtEndPr>
        <w:rPr>
          <w:noProof/>
        </w:rPr>
      </w:sdtEndPr>
      <w:sdtContent/>
    </w:sdt>
  </w:p>
  <w:p w14:paraId="6C65DD74" w14:textId="77777777" w:rsidR="00CA5AF2" w:rsidRDefault="00CA5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F540C" w14:textId="77777777" w:rsidR="00F70C14" w:rsidRDefault="00F70C14">
      <w:r>
        <w:separator/>
      </w:r>
    </w:p>
  </w:footnote>
  <w:footnote w:type="continuationSeparator" w:id="0">
    <w:p w14:paraId="56E741F9" w14:textId="77777777" w:rsidR="00F70C14" w:rsidRDefault="00F7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549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2CEA24"/>
    <w:lvl w:ilvl="0">
      <w:start w:val="1"/>
      <w:numFmt w:val="decimal"/>
      <w:pStyle w:val="ListNumber5"/>
      <w:lvlText w:val="%1"/>
      <w:lvlJc w:val="left"/>
      <w:pPr>
        <w:tabs>
          <w:tab w:val="num" w:pos="1492"/>
        </w:tabs>
        <w:ind w:left="1492" w:hanging="360"/>
      </w:pPr>
      <w:rPr>
        <w:rFonts w:hint="default"/>
      </w:rPr>
    </w:lvl>
  </w:abstractNum>
  <w:abstractNum w:abstractNumId="2" w15:restartNumberingAfterBreak="0">
    <w:nsid w:val="FFFFFF7D"/>
    <w:multiLevelType w:val="singleLevel"/>
    <w:tmpl w:val="8D882B8A"/>
    <w:lvl w:ilvl="0">
      <w:start w:val="1"/>
      <w:numFmt w:val="decimal"/>
      <w:pStyle w:val="ListNumber4"/>
      <w:lvlText w:val="%1"/>
      <w:lvlJc w:val="left"/>
      <w:pPr>
        <w:tabs>
          <w:tab w:val="num" w:pos="1209"/>
        </w:tabs>
        <w:ind w:left="1209" w:hanging="360"/>
      </w:pPr>
      <w:rPr>
        <w:rFonts w:hint="default"/>
      </w:rPr>
    </w:lvl>
  </w:abstractNum>
  <w:abstractNum w:abstractNumId="3" w15:restartNumberingAfterBreak="0">
    <w:nsid w:val="FFFFFF7E"/>
    <w:multiLevelType w:val="singleLevel"/>
    <w:tmpl w:val="FD987646"/>
    <w:lvl w:ilvl="0">
      <w:start w:val="1"/>
      <w:numFmt w:val="decimal"/>
      <w:pStyle w:val="ListNumber3"/>
      <w:lvlText w:val="%1"/>
      <w:lvlJc w:val="left"/>
      <w:pPr>
        <w:tabs>
          <w:tab w:val="num" w:pos="926"/>
        </w:tabs>
        <w:ind w:left="926" w:hanging="360"/>
      </w:pPr>
      <w:rPr>
        <w:rFonts w:hint="default"/>
      </w:rPr>
    </w:lvl>
  </w:abstractNum>
  <w:abstractNum w:abstractNumId="4" w15:restartNumberingAfterBreak="0">
    <w:nsid w:val="FFFFFF7F"/>
    <w:multiLevelType w:val="singleLevel"/>
    <w:tmpl w:val="6DF23DFE"/>
    <w:lvl w:ilvl="0">
      <w:start w:val="1"/>
      <w:numFmt w:val="decimal"/>
      <w:pStyle w:val="ListNumber2"/>
      <w:lvlText w:val="%1"/>
      <w:lvlJc w:val="left"/>
      <w:pPr>
        <w:tabs>
          <w:tab w:val="num" w:pos="643"/>
        </w:tabs>
        <w:ind w:left="643" w:hanging="360"/>
      </w:pPr>
      <w:rPr>
        <w:rFonts w:hint="default"/>
      </w:rPr>
    </w:lvl>
  </w:abstractNum>
  <w:abstractNum w:abstractNumId="5" w15:restartNumberingAfterBreak="0">
    <w:nsid w:val="FFFFFF80"/>
    <w:multiLevelType w:val="singleLevel"/>
    <w:tmpl w:val="BD32B6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B642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C294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88CD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E8CF38"/>
    <w:lvl w:ilvl="0">
      <w:start w:val="1"/>
      <w:numFmt w:val="decimal"/>
      <w:pStyle w:val="ListNumber"/>
      <w:lvlText w:val="%1"/>
      <w:lvlJc w:val="left"/>
      <w:pPr>
        <w:tabs>
          <w:tab w:val="num" w:pos="360"/>
        </w:tabs>
        <w:ind w:left="360" w:hanging="360"/>
      </w:pPr>
      <w:rPr>
        <w:rFonts w:hint="default"/>
      </w:rPr>
    </w:lvl>
  </w:abstractNum>
  <w:abstractNum w:abstractNumId="10" w15:restartNumberingAfterBreak="0">
    <w:nsid w:val="FFFFFF89"/>
    <w:multiLevelType w:val="singleLevel"/>
    <w:tmpl w:val="36085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50E2BDD"/>
    <w:multiLevelType w:val="multilevel"/>
    <w:tmpl w:val="26224C38"/>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4E27AA"/>
    <w:multiLevelType w:val="multilevel"/>
    <w:tmpl w:val="936AEF98"/>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D661A8"/>
    <w:multiLevelType w:val="hybridMultilevel"/>
    <w:tmpl w:val="49A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653C78"/>
    <w:multiLevelType w:val="singleLevel"/>
    <w:tmpl w:val="3EE06BE6"/>
    <w:name w:val="SchdNumTemplate"/>
    <w:lvl w:ilvl="0">
      <w:start w:val="1"/>
      <w:numFmt w:val="decimal"/>
      <w:lvlRestart w:val="0"/>
      <w:isLgl/>
      <w:suff w:val="nothing"/>
      <w:lvlText w:val="%1"/>
      <w:lvlJc w:val="left"/>
      <w:pPr>
        <w:tabs>
          <w:tab w:val="num" w:pos="0"/>
        </w:tabs>
        <w:ind w:left="0" w:firstLine="0"/>
      </w:pPr>
    </w:lvl>
  </w:abstractNum>
  <w:abstractNum w:abstractNumId="16"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7" w15:restartNumberingAfterBreak="0">
    <w:nsid w:val="1A0C7A50"/>
    <w:multiLevelType w:val="hybridMultilevel"/>
    <w:tmpl w:val="77A21E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C04264"/>
    <w:multiLevelType w:val="singleLevel"/>
    <w:tmpl w:val="7D3A922A"/>
    <w:name w:val="SchdPartsTemplate"/>
    <w:lvl w:ilvl="0">
      <w:start w:val="1"/>
      <w:numFmt w:val="decimal"/>
      <w:lvlRestart w:val="0"/>
      <w:isLgl/>
      <w:suff w:val="nothing"/>
      <w:lvlText w:val="%1"/>
      <w:lvlJc w:val="left"/>
      <w:pPr>
        <w:tabs>
          <w:tab w:val="num" w:pos="0"/>
        </w:tabs>
        <w:ind w:left="0" w:firstLine="0"/>
      </w:pPr>
    </w:lvl>
  </w:abstractNum>
  <w:abstractNum w:abstractNumId="19" w15:restartNumberingAfterBreak="0">
    <w:nsid w:val="2A9C6E8D"/>
    <w:multiLevelType w:val="multilevel"/>
    <w:tmpl w:val="E21848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b/>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3B15DAB"/>
    <w:multiLevelType w:val="multilevel"/>
    <w:tmpl w:val="1E6C6F50"/>
    <w:name w:val="Schedule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35BD4842"/>
    <w:multiLevelType w:val="multilevel"/>
    <w:tmpl w:val="8BA2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82BCD"/>
    <w:multiLevelType w:val="multilevel"/>
    <w:tmpl w:val="1B3089C0"/>
    <w:lvl w:ilvl="0">
      <w:start w:val="1"/>
      <w:numFmt w:val="decimal"/>
      <w:pStyle w:val="TOC9"/>
      <w:isLgl/>
      <w:lvlText w:val="%1"/>
      <w:lvlJc w:val="left"/>
      <w:pPr>
        <w:tabs>
          <w:tab w:val="num" w:pos="720"/>
        </w:tabs>
        <w:ind w:left="720" w:hanging="720"/>
      </w:pPr>
      <w:rPr>
        <w:rFonts w:hint="default"/>
        <w:b w:val="0"/>
        <w:i w:val="0"/>
        <w:u w:val="none"/>
      </w:rPr>
    </w:lvl>
    <w:lvl w:ilvl="1">
      <w:start w:val="1"/>
      <w:numFmt w:val="decimal"/>
      <w:isLgl/>
      <w:lvlText w:val="(a)"/>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3" w15:restartNumberingAfterBreak="0">
    <w:nsid w:val="426732EC"/>
    <w:multiLevelType w:val="hybridMultilevel"/>
    <w:tmpl w:val="6E26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50E76"/>
    <w:multiLevelType w:val="hybridMultilevel"/>
    <w:tmpl w:val="399A32EA"/>
    <w:lvl w:ilvl="0" w:tplc="B90EB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224F5A"/>
    <w:multiLevelType w:val="multilevel"/>
    <w:tmpl w:val="A6F47044"/>
    <w:name w:val="Agreement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6" w15:restartNumberingAfterBreak="0">
    <w:nsid w:val="4FF07899"/>
    <w:multiLevelType w:val="hybridMultilevel"/>
    <w:tmpl w:val="95AA2056"/>
    <w:lvl w:ilvl="0" w:tplc="F6025B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D1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0D1DE1"/>
    <w:multiLevelType w:val="multilevel"/>
    <w:tmpl w:val="9488B406"/>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B83400"/>
    <w:multiLevelType w:val="multilevel"/>
    <w:tmpl w:val="1390E5DE"/>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0" w15:restartNumberingAfterBreak="0">
    <w:nsid w:val="5E733BC5"/>
    <w:multiLevelType w:val="singleLevel"/>
    <w:tmpl w:val="816A477C"/>
    <w:name w:val="AppxPartsTemplate"/>
    <w:lvl w:ilvl="0">
      <w:start w:val="1"/>
      <w:numFmt w:val="decimal"/>
      <w:lvlRestart w:val="0"/>
      <w:isLgl/>
      <w:suff w:val="nothing"/>
      <w:lvlText w:val="%1"/>
      <w:lvlJc w:val="left"/>
      <w:pPr>
        <w:tabs>
          <w:tab w:val="num" w:pos="0"/>
        </w:tabs>
        <w:ind w:left="0" w:firstLine="0"/>
      </w:pPr>
    </w:lvl>
  </w:abstractNum>
  <w:abstractNum w:abstractNumId="31" w15:restartNumberingAfterBreak="0">
    <w:nsid w:val="6869467A"/>
    <w:multiLevelType w:val="multilevel"/>
    <w:tmpl w:val="FAA2AD28"/>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2" w15:restartNumberingAfterBreak="0">
    <w:nsid w:val="701F1636"/>
    <w:multiLevelType w:val="hybridMultilevel"/>
    <w:tmpl w:val="7AE2D4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4" w15:restartNumberingAfterBreak="0">
    <w:nsid w:val="71E94C47"/>
    <w:multiLevelType w:val="singleLevel"/>
    <w:tmpl w:val="3B4C3804"/>
    <w:name w:val="AppxNumTemplate"/>
    <w:lvl w:ilvl="0">
      <w:start w:val="1"/>
      <w:numFmt w:val="decimal"/>
      <w:lvlRestart w:val="0"/>
      <w:isLgl/>
      <w:suff w:val="nothing"/>
      <w:lvlText w:val="%1"/>
      <w:lvlJc w:val="left"/>
      <w:pPr>
        <w:tabs>
          <w:tab w:val="num" w:pos="0"/>
        </w:tabs>
        <w:ind w:left="0" w:firstLine="0"/>
      </w:pPr>
    </w:lvl>
  </w:abstractNum>
  <w:abstractNum w:abstractNumId="35" w15:restartNumberingAfterBreak="0">
    <w:nsid w:val="74A533A0"/>
    <w:multiLevelType w:val="multilevel"/>
    <w:tmpl w:val="89587C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8335A9"/>
    <w:multiLevelType w:val="hybridMultilevel"/>
    <w:tmpl w:val="CBA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5"/>
  </w:num>
  <w:num w:numId="19">
    <w:abstractNumId w:val="13"/>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2"/>
  </w:num>
  <w:num w:numId="32">
    <w:abstractNumId w:val="27"/>
  </w:num>
  <w:num w:numId="33">
    <w:abstractNumId w:val="11"/>
  </w:num>
  <w:num w:numId="34">
    <w:abstractNumId w:val="19"/>
  </w:num>
  <w:num w:numId="35">
    <w:abstractNumId w:val="23"/>
  </w:num>
  <w:num w:numId="36">
    <w:abstractNumId w:val="36"/>
  </w:num>
  <w:num w:numId="37">
    <w:abstractNumId w:val="26"/>
  </w:num>
  <w:num w:numId="38">
    <w:abstractNumId w:val="32"/>
  </w:num>
  <w:num w:numId="39">
    <w:abstractNumId w:val="17"/>
  </w:num>
  <w:num w:numId="40">
    <w:abstractNumId w:val="0"/>
  </w:num>
  <w:num w:numId="41">
    <w:abstractNumId w:val="14"/>
  </w:num>
  <w:num w:numId="42">
    <w:abstractNumId w:val="24"/>
  </w:num>
  <w:num w:numId="4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DOType" w:val="Custom"/>
  </w:docVars>
  <w:rsids>
    <w:rsidRoot w:val="009D1134"/>
    <w:rsid w:val="000004A8"/>
    <w:rsid w:val="00001CA6"/>
    <w:rsid w:val="00007141"/>
    <w:rsid w:val="00007DCB"/>
    <w:rsid w:val="00014558"/>
    <w:rsid w:val="000171CB"/>
    <w:rsid w:val="00020436"/>
    <w:rsid w:val="00023736"/>
    <w:rsid w:val="00023890"/>
    <w:rsid w:val="00024894"/>
    <w:rsid w:val="00024F18"/>
    <w:rsid w:val="00025602"/>
    <w:rsid w:val="00026043"/>
    <w:rsid w:val="00027AB2"/>
    <w:rsid w:val="0003145A"/>
    <w:rsid w:val="000316D0"/>
    <w:rsid w:val="00032445"/>
    <w:rsid w:val="000326B0"/>
    <w:rsid w:val="00032839"/>
    <w:rsid w:val="000339FD"/>
    <w:rsid w:val="0003428C"/>
    <w:rsid w:val="0003466C"/>
    <w:rsid w:val="00035A1B"/>
    <w:rsid w:val="0003749A"/>
    <w:rsid w:val="00040704"/>
    <w:rsid w:val="00040980"/>
    <w:rsid w:val="00042057"/>
    <w:rsid w:val="0004419D"/>
    <w:rsid w:val="000450A8"/>
    <w:rsid w:val="0004762C"/>
    <w:rsid w:val="00051BE9"/>
    <w:rsid w:val="00051FC2"/>
    <w:rsid w:val="00055BA6"/>
    <w:rsid w:val="00055F94"/>
    <w:rsid w:val="00056806"/>
    <w:rsid w:val="00056CC9"/>
    <w:rsid w:val="00062AF5"/>
    <w:rsid w:val="000631AA"/>
    <w:rsid w:val="00065124"/>
    <w:rsid w:val="00067FEE"/>
    <w:rsid w:val="0007023A"/>
    <w:rsid w:val="00070F9C"/>
    <w:rsid w:val="00071E71"/>
    <w:rsid w:val="000732F7"/>
    <w:rsid w:val="00073D48"/>
    <w:rsid w:val="0007592B"/>
    <w:rsid w:val="000777F2"/>
    <w:rsid w:val="0008058D"/>
    <w:rsid w:val="0008170E"/>
    <w:rsid w:val="00083469"/>
    <w:rsid w:val="00084CF0"/>
    <w:rsid w:val="00085A97"/>
    <w:rsid w:val="00086B4A"/>
    <w:rsid w:val="00086DF2"/>
    <w:rsid w:val="0009176C"/>
    <w:rsid w:val="000924B7"/>
    <w:rsid w:val="00094B37"/>
    <w:rsid w:val="00095E11"/>
    <w:rsid w:val="00096823"/>
    <w:rsid w:val="0009712D"/>
    <w:rsid w:val="00097BEB"/>
    <w:rsid w:val="000A1B44"/>
    <w:rsid w:val="000A3255"/>
    <w:rsid w:val="000A395F"/>
    <w:rsid w:val="000A4D86"/>
    <w:rsid w:val="000A6AA8"/>
    <w:rsid w:val="000A6D3B"/>
    <w:rsid w:val="000B1F88"/>
    <w:rsid w:val="000B478E"/>
    <w:rsid w:val="000B65F3"/>
    <w:rsid w:val="000B77A4"/>
    <w:rsid w:val="000C1DA1"/>
    <w:rsid w:val="000C1E98"/>
    <w:rsid w:val="000C2371"/>
    <w:rsid w:val="000C593E"/>
    <w:rsid w:val="000C704E"/>
    <w:rsid w:val="000C7643"/>
    <w:rsid w:val="000C7C5E"/>
    <w:rsid w:val="000D085A"/>
    <w:rsid w:val="000D0F7E"/>
    <w:rsid w:val="000D308B"/>
    <w:rsid w:val="000D3842"/>
    <w:rsid w:val="000D4941"/>
    <w:rsid w:val="000D6721"/>
    <w:rsid w:val="000D7CBF"/>
    <w:rsid w:val="000E1027"/>
    <w:rsid w:val="000E135D"/>
    <w:rsid w:val="000E1942"/>
    <w:rsid w:val="000E1F75"/>
    <w:rsid w:val="000E2806"/>
    <w:rsid w:val="000E3079"/>
    <w:rsid w:val="000E4BD7"/>
    <w:rsid w:val="000E4D71"/>
    <w:rsid w:val="000E5FB8"/>
    <w:rsid w:val="000E60AD"/>
    <w:rsid w:val="000E714D"/>
    <w:rsid w:val="000E740B"/>
    <w:rsid w:val="000E7F7A"/>
    <w:rsid w:val="000F1EB7"/>
    <w:rsid w:val="000F3B52"/>
    <w:rsid w:val="000F41D1"/>
    <w:rsid w:val="000F44B8"/>
    <w:rsid w:val="000F6072"/>
    <w:rsid w:val="000F7A4B"/>
    <w:rsid w:val="000F7CF4"/>
    <w:rsid w:val="001013B3"/>
    <w:rsid w:val="001015C3"/>
    <w:rsid w:val="0010174C"/>
    <w:rsid w:val="0010382E"/>
    <w:rsid w:val="00103BB2"/>
    <w:rsid w:val="0010484F"/>
    <w:rsid w:val="0011137D"/>
    <w:rsid w:val="001121D6"/>
    <w:rsid w:val="00114281"/>
    <w:rsid w:val="00115211"/>
    <w:rsid w:val="001169CC"/>
    <w:rsid w:val="001170E9"/>
    <w:rsid w:val="00124AF6"/>
    <w:rsid w:val="00125C3A"/>
    <w:rsid w:val="00127CA8"/>
    <w:rsid w:val="00130916"/>
    <w:rsid w:val="00131AC7"/>
    <w:rsid w:val="00131CDB"/>
    <w:rsid w:val="00132537"/>
    <w:rsid w:val="00133B29"/>
    <w:rsid w:val="001345A9"/>
    <w:rsid w:val="00134CEB"/>
    <w:rsid w:val="001369E6"/>
    <w:rsid w:val="00137A8E"/>
    <w:rsid w:val="00137B83"/>
    <w:rsid w:val="001406E0"/>
    <w:rsid w:val="00141186"/>
    <w:rsid w:val="00141E98"/>
    <w:rsid w:val="00142401"/>
    <w:rsid w:val="00145293"/>
    <w:rsid w:val="00145A91"/>
    <w:rsid w:val="0014652E"/>
    <w:rsid w:val="00146BC5"/>
    <w:rsid w:val="00147717"/>
    <w:rsid w:val="001501B9"/>
    <w:rsid w:val="00150864"/>
    <w:rsid w:val="001521C1"/>
    <w:rsid w:val="00153576"/>
    <w:rsid w:val="00154FAC"/>
    <w:rsid w:val="001579C7"/>
    <w:rsid w:val="00160DA7"/>
    <w:rsid w:val="001620CE"/>
    <w:rsid w:val="00162E37"/>
    <w:rsid w:val="00163EE8"/>
    <w:rsid w:val="00165009"/>
    <w:rsid w:val="00166396"/>
    <w:rsid w:val="0016733D"/>
    <w:rsid w:val="00167695"/>
    <w:rsid w:val="00170057"/>
    <w:rsid w:val="001722E2"/>
    <w:rsid w:val="0017249C"/>
    <w:rsid w:val="00176AEA"/>
    <w:rsid w:val="00181CEC"/>
    <w:rsid w:val="001856FA"/>
    <w:rsid w:val="00187283"/>
    <w:rsid w:val="001913F0"/>
    <w:rsid w:val="00191AD7"/>
    <w:rsid w:val="00192F65"/>
    <w:rsid w:val="00193C58"/>
    <w:rsid w:val="00195074"/>
    <w:rsid w:val="00196471"/>
    <w:rsid w:val="00197295"/>
    <w:rsid w:val="001A1A63"/>
    <w:rsid w:val="001A35AF"/>
    <w:rsid w:val="001A3BDB"/>
    <w:rsid w:val="001A48B7"/>
    <w:rsid w:val="001A7880"/>
    <w:rsid w:val="001A7BA4"/>
    <w:rsid w:val="001B1320"/>
    <w:rsid w:val="001B176B"/>
    <w:rsid w:val="001B2AAE"/>
    <w:rsid w:val="001B3591"/>
    <w:rsid w:val="001C24AB"/>
    <w:rsid w:val="001C4316"/>
    <w:rsid w:val="001C703F"/>
    <w:rsid w:val="001C7A64"/>
    <w:rsid w:val="001C7A79"/>
    <w:rsid w:val="001D22AE"/>
    <w:rsid w:val="001D2E1A"/>
    <w:rsid w:val="001D404D"/>
    <w:rsid w:val="001D6DBE"/>
    <w:rsid w:val="001E00BD"/>
    <w:rsid w:val="001E3221"/>
    <w:rsid w:val="001E6801"/>
    <w:rsid w:val="001F1B57"/>
    <w:rsid w:val="001F2704"/>
    <w:rsid w:val="001F46D3"/>
    <w:rsid w:val="001F4982"/>
    <w:rsid w:val="001F4E5A"/>
    <w:rsid w:val="001F56BB"/>
    <w:rsid w:val="001F772C"/>
    <w:rsid w:val="001F7CA4"/>
    <w:rsid w:val="001F7FEC"/>
    <w:rsid w:val="00200231"/>
    <w:rsid w:val="0020113C"/>
    <w:rsid w:val="0020152C"/>
    <w:rsid w:val="002025C1"/>
    <w:rsid w:val="00202E1C"/>
    <w:rsid w:val="002057E0"/>
    <w:rsid w:val="002059B1"/>
    <w:rsid w:val="0021177C"/>
    <w:rsid w:val="00213318"/>
    <w:rsid w:val="002150D6"/>
    <w:rsid w:val="00221793"/>
    <w:rsid w:val="00222573"/>
    <w:rsid w:val="00223317"/>
    <w:rsid w:val="00223357"/>
    <w:rsid w:val="00223EBE"/>
    <w:rsid w:val="002279B7"/>
    <w:rsid w:val="00231F11"/>
    <w:rsid w:val="00232C54"/>
    <w:rsid w:val="00234489"/>
    <w:rsid w:val="00234C2D"/>
    <w:rsid w:val="002379A3"/>
    <w:rsid w:val="00244AC8"/>
    <w:rsid w:val="00247EFF"/>
    <w:rsid w:val="00251D34"/>
    <w:rsid w:val="00255A5E"/>
    <w:rsid w:val="00261193"/>
    <w:rsid w:val="002622B3"/>
    <w:rsid w:val="00263926"/>
    <w:rsid w:val="00264354"/>
    <w:rsid w:val="0026495B"/>
    <w:rsid w:val="00265128"/>
    <w:rsid w:val="00266FC1"/>
    <w:rsid w:val="00267BCF"/>
    <w:rsid w:val="00267E67"/>
    <w:rsid w:val="002705ED"/>
    <w:rsid w:val="00272860"/>
    <w:rsid w:val="00273D22"/>
    <w:rsid w:val="002752E3"/>
    <w:rsid w:val="00276BE7"/>
    <w:rsid w:val="00277ECB"/>
    <w:rsid w:val="00280211"/>
    <w:rsid w:val="00281C36"/>
    <w:rsid w:val="00281DE3"/>
    <w:rsid w:val="00282F93"/>
    <w:rsid w:val="00283726"/>
    <w:rsid w:val="00283778"/>
    <w:rsid w:val="00283864"/>
    <w:rsid w:val="00284266"/>
    <w:rsid w:val="00290E67"/>
    <w:rsid w:val="00291575"/>
    <w:rsid w:val="00291767"/>
    <w:rsid w:val="00291D2D"/>
    <w:rsid w:val="002957F1"/>
    <w:rsid w:val="002A0DB2"/>
    <w:rsid w:val="002A1614"/>
    <w:rsid w:val="002A1D79"/>
    <w:rsid w:val="002A4224"/>
    <w:rsid w:val="002A5168"/>
    <w:rsid w:val="002A619E"/>
    <w:rsid w:val="002B16E9"/>
    <w:rsid w:val="002B3815"/>
    <w:rsid w:val="002B3A13"/>
    <w:rsid w:val="002B3BA0"/>
    <w:rsid w:val="002B3CFD"/>
    <w:rsid w:val="002B4D91"/>
    <w:rsid w:val="002B536E"/>
    <w:rsid w:val="002B7279"/>
    <w:rsid w:val="002C1C05"/>
    <w:rsid w:val="002C1FD0"/>
    <w:rsid w:val="002C2B42"/>
    <w:rsid w:val="002C2B8D"/>
    <w:rsid w:val="002C317D"/>
    <w:rsid w:val="002C3F85"/>
    <w:rsid w:val="002C4379"/>
    <w:rsid w:val="002C468B"/>
    <w:rsid w:val="002C5967"/>
    <w:rsid w:val="002C5CBD"/>
    <w:rsid w:val="002C6CA3"/>
    <w:rsid w:val="002C7317"/>
    <w:rsid w:val="002D04D4"/>
    <w:rsid w:val="002D3342"/>
    <w:rsid w:val="002D3604"/>
    <w:rsid w:val="002D3F18"/>
    <w:rsid w:val="002D4D03"/>
    <w:rsid w:val="002D4F18"/>
    <w:rsid w:val="002D564D"/>
    <w:rsid w:val="002D5B2C"/>
    <w:rsid w:val="002D5FEE"/>
    <w:rsid w:val="002D7268"/>
    <w:rsid w:val="002E01ED"/>
    <w:rsid w:val="002E0DD0"/>
    <w:rsid w:val="002E1DEB"/>
    <w:rsid w:val="002E54EF"/>
    <w:rsid w:val="002E5A1A"/>
    <w:rsid w:val="002E6667"/>
    <w:rsid w:val="002F0B9B"/>
    <w:rsid w:val="002F1118"/>
    <w:rsid w:val="002F151B"/>
    <w:rsid w:val="002F39E6"/>
    <w:rsid w:val="002F4197"/>
    <w:rsid w:val="002F57B1"/>
    <w:rsid w:val="002F5886"/>
    <w:rsid w:val="002F6BB2"/>
    <w:rsid w:val="00300D36"/>
    <w:rsid w:val="003016C9"/>
    <w:rsid w:val="00301C7B"/>
    <w:rsid w:val="003049F9"/>
    <w:rsid w:val="003052EB"/>
    <w:rsid w:val="00307792"/>
    <w:rsid w:val="0031117E"/>
    <w:rsid w:val="003123C6"/>
    <w:rsid w:val="0031294B"/>
    <w:rsid w:val="00313B3F"/>
    <w:rsid w:val="0031462A"/>
    <w:rsid w:val="00315A59"/>
    <w:rsid w:val="00315CD3"/>
    <w:rsid w:val="003174D0"/>
    <w:rsid w:val="00317926"/>
    <w:rsid w:val="00317B16"/>
    <w:rsid w:val="003203E6"/>
    <w:rsid w:val="0032096D"/>
    <w:rsid w:val="00321088"/>
    <w:rsid w:val="003210EB"/>
    <w:rsid w:val="003214DB"/>
    <w:rsid w:val="0032156C"/>
    <w:rsid w:val="003219F5"/>
    <w:rsid w:val="00321A4C"/>
    <w:rsid w:val="00322257"/>
    <w:rsid w:val="0032422F"/>
    <w:rsid w:val="00325EB8"/>
    <w:rsid w:val="003260A1"/>
    <w:rsid w:val="00326A76"/>
    <w:rsid w:val="00326E73"/>
    <w:rsid w:val="003270B3"/>
    <w:rsid w:val="00327AD8"/>
    <w:rsid w:val="00327C0E"/>
    <w:rsid w:val="00327CD1"/>
    <w:rsid w:val="00331E14"/>
    <w:rsid w:val="00332B1D"/>
    <w:rsid w:val="00334B0B"/>
    <w:rsid w:val="0033687D"/>
    <w:rsid w:val="003404C6"/>
    <w:rsid w:val="00341665"/>
    <w:rsid w:val="00343319"/>
    <w:rsid w:val="003434BB"/>
    <w:rsid w:val="00343618"/>
    <w:rsid w:val="00345F62"/>
    <w:rsid w:val="0034606D"/>
    <w:rsid w:val="00350B75"/>
    <w:rsid w:val="00351E3B"/>
    <w:rsid w:val="00352DED"/>
    <w:rsid w:val="00352FD4"/>
    <w:rsid w:val="00353551"/>
    <w:rsid w:val="00353D41"/>
    <w:rsid w:val="00361C5B"/>
    <w:rsid w:val="00366C6C"/>
    <w:rsid w:val="003708F7"/>
    <w:rsid w:val="00371F00"/>
    <w:rsid w:val="00374BA5"/>
    <w:rsid w:val="00376433"/>
    <w:rsid w:val="00377271"/>
    <w:rsid w:val="003775B6"/>
    <w:rsid w:val="0037794C"/>
    <w:rsid w:val="00380639"/>
    <w:rsid w:val="00380969"/>
    <w:rsid w:val="0038239D"/>
    <w:rsid w:val="00382BE0"/>
    <w:rsid w:val="00382F5C"/>
    <w:rsid w:val="00383010"/>
    <w:rsid w:val="00384ED5"/>
    <w:rsid w:val="0038565A"/>
    <w:rsid w:val="0038632A"/>
    <w:rsid w:val="00390247"/>
    <w:rsid w:val="003920A5"/>
    <w:rsid w:val="00392290"/>
    <w:rsid w:val="003928C6"/>
    <w:rsid w:val="00393959"/>
    <w:rsid w:val="003A1DA7"/>
    <w:rsid w:val="003A208B"/>
    <w:rsid w:val="003B0222"/>
    <w:rsid w:val="003B111B"/>
    <w:rsid w:val="003B155A"/>
    <w:rsid w:val="003B19F2"/>
    <w:rsid w:val="003B260B"/>
    <w:rsid w:val="003B4F59"/>
    <w:rsid w:val="003B535D"/>
    <w:rsid w:val="003B56F2"/>
    <w:rsid w:val="003C0932"/>
    <w:rsid w:val="003C137E"/>
    <w:rsid w:val="003C1425"/>
    <w:rsid w:val="003C15B4"/>
    <w:rsid w:val="003C4628"/>
    <w:rsid w:val="003C5EDD"/>
    <w:rsid w:val="003C5F70"/>
    <w:rsid w:val="003C7384"/>
    <w:rsid w:val="003C77F7"/>
    <w:rsid w:val="003D0B9F"/>
    <w:rsid w:val="003D31D9"/>
    <w:rsid w:val="003D4214"/>
    <w:rsid w:val="003D42BD"/>
    <w:rsid w:val="003D7503"/>
    <w:rsid w:val="003D7C43"/>
    <w:rsid w:val="003E034E"/>
    <w:rsid w:val="003E34FC"/>
    <w:rsid w:val="003E35E3"/>
    <w:rsid w:val="003E36DD"/>
    <w:rsid w:val="003E4641"/>
    <w:rsid w:val="003E587F"/>
    <w:rsid w:val="003E58CE"/>
    <w:rsid w:val="003E5A10"/>
    <w:rsid w:val="003E6D29"/>
    <w:rsid w:val="003F38CF"/>
    <w:rsid w:val="003F54EA"/>
    <w:rsid w:val="003F5E48"/>
    <w:rsid w:val="003F647E"/>
    <w:rsid w:val="003F6785"/>
    <w:rsid w:val="003F6CC0"/>
    <w:rsid w:val="003F6E8E"/>
    <w:rsid w:val="003F78CB"/>
    <w:rsid w:val="00400193"/>
    <w:rsid w:val="004010A7"/>
    <w:rsid w:val="00402AB8"/>
    <w:rsid w:val="0040369F"/>
    <w:rsid w:val="00403D7F"/>
    <w:rsid w:val="004042D8"/>
    <w:rsid w:val="00405FB3"/>
    <w:rsid w:val="00406289"/>
    <w:rsid w:val="00406D79"/>
    <w:rsid w:val="0040718E"/>
    <w:rsid w:val="00410664"/>
    <w:rsid w:val="00410B85"/>
    <w:rsid w:val="00411484"/>
    <w:rsid w:val="004119BF"/>
    <w:rsid w:val="0041411D"/>
    <w:rsid w:val="004152A0"/>
    <w:rsid w:val="00415511"/>
    <w:rsid w:val="004160DE"/>
    <w:rsid w:val="004300BA"/>
    <w:rsid w:val="00432EA8"/>
    <w:rsid w:val="004336FF"/>
    <w:rsid w:val="00435668"/>
    <w:rsid w:val="00435878"/>
    <w:rsid w:val="00435B7A"/>
    <w:rsid w:val="00436773"/>
    <w:rsid w:val="0043689C"/>
    <w:rsid w:val="004374BD"/>
    <w:rsid w:val="004375EB"/>
    <w:rsid w:val="00441651"/>
    <w:rsid w:val="00443298"/>
    <w:rsid w:val="00443633"/>
    <w:rsid w:val="00443C42"/>
    <w:rsid w:val="00444D5B"/>
    <w:rsid w:val="004461E6"/>
    <w:rsid w:val="00447809"/>
    <w:rsid w:val="004507BF"/>
    <w:rsid w:val="00452877"/>
    <w:rsid w:val="00452A72"/>
    <w:rsid w:val="004539E6"/>
    <w:rsid w:val="004556E6"/>
    <w:rsid w:val="00456919"/>
    <w:rsid w:val="00456C63"/>
    <w:rsid w:val="0045753C"/>
    <w:rsid w:val="0046150B"/>
    <w:rsid w:val="00463414"/>
    <w:rsid w:val="0046444D"/>
    <w:rsid w:val="0046758F"/>
    <w:rsid w:val="00470E27"/>
    <w:rsid w:val="00471000"/>
    <w:rsid w:val="004715B3"/>
    <w:rsid w:val="00473266"/>
    <w:rsid w:val="00473EEB"/>
    <w:rsid w:val="0047495D"/>
    <w:rsid w:val="00475619"/>
    <w:rsid w:val="00475864"/>
    <w:rsid w:val="00475DF7"/>
    <w:rsid w:val="00475F8D"/>
    <w:rsid w:val="00476764"/>
    <w:rsid w:val="00477404"/>
    <w:rsid w:val="0048039F"/>
    <w:rsid w:val="00481312"/>
    <w:rsid w:val="00481903"/>
    <w:rsid w:val="00481BF3"/>
    <w:rsid w:val="00481C0C"/>
    <w:rsid w:val="0048614B"/>
    <w:rsid w:val="0048632F"/>
    <w:rsid w:val="004901B8"/>
    <w:rsid w:val="00490615"/>
    <w:rsid w:val="00491038"/>
    <w:rsid w:val="0049202F"/>
    <w:rsid w:val="00493245"/>
    <w:rsid w:val="00493434"/>
    <w:rsid w:val="00493CC6"/>
    <w:rsid w:val="004950F9"/>
    <w:rsid w:val="0049547B"/>
    <w:rsid w:val="00496A09"/>
    <w:rsid w:val="004A01F0"/>
    <w:rsid w:val="004A3E9C"/>
    <w:rsid w:val="004A4217"/>
    <w:rsid w:val="004A5EC4"/>
    <w:rsid w:val="004A6554"/>
    <w:rsid w:val="004B3F59"/>
    <w:rsid w:val="004B62CC"/>
    <w:rsid w:val="004C0CD9"/>
    <w:rsid w:val="004C10AD"/>
    <w:rsid w:val="004C1236"/>
    <w:rsid w:val="004C16ED"/>
    <w:rsid w:val="004C1CD7"/>
    <w:rsid w:val="004C4448"/>
    <w:rsid w:val="004C462F"/>
    <w:rsid w:val="004C7BBB"/>
    <w:rsid w:val="004D0312"/>
    <w:rsid w:val="004D0780"/>
    <w:rsid w:val="004D3490"/>
    <w:rsid w:val="004D5C17"/>
    <w:rsid w:val="004D6AA2"/>
    <w:rsid w:val="004D6C9B"/>
    <w:rsid w:val="004D70CF"/>
    <w:rsid w:val="004E0390"/>
    <w:rsid w:val="004E111D"/>
    <w:rsid w:val="004E4632"/>
    <w:rsid w:val="004E4D3D"/>
    <w:rsid w:val="004F0641"/>
    <w:rsid w:val="004F464D"/>
    <w:rsid w:val="004F5F27"/>
    <w:rsid w:val="0050016F"/>
    <w:rsid w:val="00501EC5"/>
    <w:rsid w:val="005024ED"/>
    <w:rsid w:val="00504076"/>
    <w:rsid w:val="005053DC"/>
    <w:rsid w:val="0050796D"/>
    <w:rsid w:val="00507F7A"/>
    <w:rsid w:val="0051195D"/>
    <w:rsid w:val="00513220"/>
    <w:rsid w:val="00513C6E"/>
    <w:rsid w:val="005141FF"/>
    <w:rsid w:val="00514D0A"/>
    <w:rsid w:val="00514F2A"/>
    <w:rsid w:val="0051659F"/>
    <w:rsid w:val="005172E8"/>
    <w:rsid w:val="005174A3"/>
    <w:rsid w:val="00517780"/>
    <w:rsid w:val="00520C26"/>
    <w:rsid w:val="0052139A"/>
    <w:rsid w:val="00521CCE"/>
    <w:rsid w:val="00523EEF"/>
    <w:rsid w:val="005245E5"/>
    <w:rsid w:val="0052500F"/>
    <w:rsid w:val="0052515F"/>
    <w:rsid w:val="005254D3"/>
    <w:rsid w:val="0053026F"/>
    <w:rsid w:val="00530556"/>
    <w:rsid w:val="00533092"/>
    <w:rsid w:val="00533267"/>
    <w:rsid w:val="00534B89"/>
    <w:rsid w:val="00535C79"/>
    <w:rsid w:val="00537E15"/>
    <w:rsid w:val="0054073B"/>
    <w:rsid w:val="0054103E"/>
    <w:rsid w:val="00541917"/>
    <w:rsid w:val="00543B81"/>
    <w:rsid w:val="00546E53"/>
    <w:rsid w:val="0055076E"/>
    <w:rsid w:val="00550827"/>
    <w:rsid w:val="00552808"/>
    <w:rsid w:val="00553328"/>
    <w:rsid w:val="0055345C"/>
    <w:rsid w:val="005552B1"/>
    <w:rsid w:val="00556584"/>
    <w:rsid w:val="0055728D"/>
    <w:rsid w:val="0056081D"/>
    <w:rsid w:val="00560EA6"/>
    <w:rsid w:val="00561334"/>
    <w:rsid w:val="00562D25"/>
    <w:rsid w:val="005631FD"/>
    <w:rsid w:val="00563593"/>
    <w:rsid w:val="00563ABA"/>
    <w:rsid w:val="00565CCB"/>
    <w:rsid w:val="00565F13"/>
    <w:rsid w:val="005665CF"/>
    <w:rsid w:val="0057136E"/>
    <w:rsid w:val="005753F1"/>
    <w:rsid w:val="00575968"/>
    <w:rsid w:val="00576657"/>
    <w:rsid w:val="00581A47"/>
    <w:rsid w:val="00582D9A"/>
    <w:rsid w:val="0058312C"/>
    <w:rsid w:val="00583701"/>
    <w:rsid w:val="0058381F"/>
    <w:rsid w:val="00586A5C"/>
    <w:rsid w:val="00586AC5"/>
    <w:rsid w:val="00586CA7"/>
    <w:rsid w:val="0059222B"/>
    <w:rsid w:val="005931AF"/>
    <w:rsid w:val="005936DC"/>
    <w:rsid w:val="00593F57"/>
    <w:rsid w:val="005954EA"/>
    <w:rsid w:val="0059694E"/>
    <w:rsid w:val="0059758C"/>
    <w:rsid w:val="005975AA"/>
    <w:rsid w:val="00597ACE"/>
    <w:rsid w:val="005A0022"/>
    <w:rsid w:val="005A2803"/>
    <w:rsid w:val="005A46B9"/>
    <w:rsid w:val="005A64DC"/>
    <w:rsid w:val="005A64EB"/>
    <w:rsid w:val="005A6FA8"/>
    <w:rsid w:val="005A775B"/>
    <w:rsid w:val="005B0540"/>
    <w:rsid w:val="005B07F7"/>
    <w:rsid w:val="005B1657"/>
    <w:rsid w:val="005B1A5F"/>
    <w:rsid w:val="005B24F0"/>
    <w:rsid w:val="005B31F4"/>
    <w:rsid w:val="005B3C12"/>
    <w:rsid w:val="005B440A"/>
    <w:rsid w:val="005B65D9"/>
    <w:rsid w:val="005B6782"/>
    <w:rsid w:val="005B709E"/>
    <w:rsid w:val="005C0CA7"/>
    <w:rsid w:val="005C1B67"/>
    <w:rsid w:val="005C1EEB"/>
    <w:rsid w:val="005C3374"/>
    <w:rsid w:val="005C4611"/>
    <w:rsid w:val="005C486D"/>
    <w:rsid w:val="005D05B6"/>
    <w:rsid w:val="005D46D9"/>
    <w:rsid w:val="005D56DD"/>
    <w:rsid w:val="005D6802"/>
    <w:rsid w:val="005E22A5"/>
    <w:rsid w:val="005E5567"/>
    <w:rsid w:val="005E5622"/>
    <w:rsid w:val="005E586E"/>
    <w:rsid w:val="005E7B98"/>
    <w:rsid w:val="005F0523"/>
    <w:rsid w:val="005F125C"/>
    <w:rsid w:val="005F1CF0"/>
    <w:rsid w:val="005F4121"/>
    <w:rsid w:val="005F44AA"/>
    <w:rsid w:val="005F4A88"/>
    <w:rsid w:val="005F5B20"/>
    <w:rsid w:val="005F5C10"/>
    <w:rsid w:val="005F6859"/>
    <w:rsid w:val="005F68FD"/>
    <w:rsid w:val="005F703A"/>
    <w:rsid w:val="005F7452"/>
    <w:rsid w:val="00601211"/>
    <w:rsid w:val="00602226"/>
    <w:rsid w:val="00604CAB"/>
    <w:rsid w:val="00604FCC"/>
    <w:rsid w:val="00605EA5"/>
    <w:rsid w:val="0060745A"/>
    <w:rsid w:val="00611C53"/>
    <w:rsid w:val="00612561"/>
    <w:rsid w:val="00612A5C"/>
    <w:rsid w:val="0061385E"/>
    <w:rsid w:val="00613A50"/>
    <w:rsid w:val="00614C9F"/>
    <w:rsid w:val="00615DAC"/>
    <w:rsid w:val="006223B9"/>
    <w:rsid w:val="00622B59"/>
    <w:rsid w:val="00623A59"/>
    <w:rsid w:val="00625949"/>
    <w:rsid w:val="00626D2E"/>
    <w:rsid w:val="0063274E"/>
    <w:rsid w:val="006328DF"/>
    <w:rsid w:val="00633EF7"/>
    <w:rsid w:val="00635038"/>
    <w:rsid w:val="00636FD9"/>
    <w:rsid w:val="00637973"/>
    <w:rsid w:val="00642098"/>
    <w:rsid w:val="006423F7"/>
    <w:rsid w:val="00644497"/>
    <w:rsid w:val="00645243"/>
    <w:rsid w:val="00647181"/>
    <w:rsid w:val="00647687"/>
    <w:rsid w:val="006511CD"/>
    <w:rsid w:val="006514EA"/>
    <w:rsid w:val="006519A5"/>
    <w:rsid w:val="006529F6"/>
    <w:rsid w:val="006532B2"/>
    <w:rsid w:val="00655FEE"/>
    <w:rsid w:val="00660845"/>
    <w:rsid w:val="00660F41"/>
    <w:rsid w:val="0066253C"/>
    <w:rsid w:val="00662B58"/>
    <w:rsid w:val="00663FCA"/>
    <w:rsid w:val="006678DD"/>
    <w:rsid w:val="00670476"/>
    <w:rsid w:val="0067098D"/>
    <w:rsid w:val="006727DC"/>
    <w:rsid w:val="00673E4F"/>
    <w:rsid w:val="0068029F"/>
    <w:rsid w:val="00681445"/>
    <w:rsid w:val="00681D3B"/>
    <w:rsid w:val="00682D75"/>
    <w:rsid w:val="0068493A"/>
    <w:rsid w:val="00686CF4"/>
    <w:rsid w:val="00687577"/>
    <w:rsid w:val="00695BD8"/>
    <w:rsid w:val="006A03AD"/>
    <w:rsid w:val="006A1566"/>
    <w:rsid w:val="006A231F"/>
    <w:rsid w:val="006A352E"/>
    <w:rsid w:val="006A3CDB"/>
    <w:rsid w:val="006A56AF"/>
    <w:rsid w:val="006A6DBC"/>
    <w:rsid w:val="006A7FAD"/>
    <w:rsid w:val="006B036C"/>
    <w:rsid w:val="006B256C"/>
    <w:rsid w:val="006B51BC"/>
    <w:rsid w:val="006B67BA"/>
    <w:rsid w:val="006C00DB"/>
    <w:rsid w:val="006C0E2C"/>
    <w:rsid w:val="006C1351"/>
    <w:rsid w:val="006C23B3"/>
    <w:rsid w:val="006C3C80"/>
    <w:rsid w:val="006C4976"/>
    <w:rsid w:val="006C5CD1"/>
    <w:rsid w:val="006C6520"/>
    <w:rsid w:val="006C6D97"/>
    <w:rsid w:val="006D0C22"/>
    <w:rsid w:val="006D32A8"/>
    <w:rsid w:val="006D4368"/>
    <w:rsid w:val="006D458D"/>
    <w:rsid w:val="006D50B5"/>
    <w:rsid w:val="006D72F5"/>
    <w:rsid w:val="006E0061"/>
    <w:rsid w:val="006E0CAA"/>
    <w:rsid w:val="006E3206"/>
    <w:rsid w:val="006E366B"/>
    <w:rsid w:val="006E5355"/>
    <w:rsid w:val="006E64D3"/>
    <w:rsid w:val="006E6665"/>
    <w:rsid w:val="006F1598"/>
    <w:rsid w:val="006F3335"/>
    <w:rsid w:val="006F4640"/>
    <w:rsid w:val="006F5460"/>
    <w:rsid w:val="006F5594"/>
    <w:rsid w:val="006F6555"/>
    <w:rsid w:val="006F669D"/>
    <w:rsid w:val="00700DAC"/>
    <w:rsid w:val="00702A83"/>
    <w:rsid w:val="007059AB"/>
    <w:rsid w:val="00710864"/>
    <w:rsid w:val="00714954"/>
    <w:rsid w:val="007177FC"/>
    <w:rsid w:val="00720991"/>
    <w:rsid w:val="00721855"/>
    <w:rsid w:val="00722665"/>
    <w:rsid w:val="00723615"/>
    <w:rsid w:val="007305B6"/>
    <w:rsid w:val="00732BF4"/>
    <w:rsid w:val="007338D7"/>
    <w:rsid w:val="007338F0"/>
    <w:rsid w:val="0073548E"/>
    <w:rsid w:val="00735722"/>
    <w:rsid w:val="00735F62"/>
    <w:rsid w:val="00736538"/>
    <w:rsid w:val="00737B5A"/>
    <w:rsid w:val="00740687"/>
    <w:rsid w:val="007425CE"/>
    <w:rsid w:val="00743335"/>
    <w:rsid w:val="00745FB1"/>
    <w:rsid w:val="007466A1"/>
    <w:rsid w:val="0074791F"/>
    <w:rsid w:val="00747F7E"/>
    <w:rsid w:val="007501EC"/>
    <w:rsid w:val="007507CA"/>
    <w:rsid w:val="00750C1B"/>
    <w:rsid w:val="0075283C"/>
    <w:rsid w:val="007535B9"/>
    <w:rsid w:val="00754EAF"/>
    <w:rsid w:val="00756DC5"/>
    <w:rsid w:val="007570E0"/>
    <w:rsid w:val="00757D3A"/>
    <w:rsid w:val="007601F3"/>
    <w:rsid w:val="00760A1C"/>
    <w:rsid w:val="00760ECA"/>
    <w:rsid w:val="00764E4F"/>
    <w:rsid w:val="00766D4A"/>
    <w:rsid w:val="00767191"/>
    <w:rsid w:val="0077155D"/>
    <w:rsid w:val="00771F80"/>
    <w:rsid w:val="00773F26"/>
    <w:rsid w:val="0077574B"/>
    <w:rsid w:val="007778C6"/>
    <w:rsid w:val="00777C85"/>
    <w:rsid w:val="007830C8"/>
    <w:rsid w:val="0078333B"/>
    <w:rsid w:val="00785BAB"/>
    <w:rsid w:val="0078694E"/>
    <w:rsid w:val="00790D36"/>
    <w:rsid w:val="007912BD"/>
    <w:rsid w:val="00791458"/>
    <w:rsid w:val="007923F6"/>
    <w:rsid w:val="00793050"/>
    <w:rsid w:val="007930F6"/>
    <w:rsid w:val="00793774"/>
    <w:rsid w:val="00794879"/>
    <w:rsid w:val="0079596F"/>
    <w:rsid w:val="00795A9F"/>
    <w:rsid w:val="007A17E1"/>
    <w:rsid w:val="007A2C44"/>
    <w:rsid w:val="007A41B1"/>
    <w:rsid w:val="007A5DB6"/>
    <w:rsid w:val="007A76A3"/>
    <w:rsid w:val="007B4A7F"/>
    <w:rsid w:val="007B529A"/>
    <w:rsid w:val="007B5BCF"/>
    <w:rsid w:val="007B7E5E"/>
    <w:rsid w:val="007C047B"/>
    <w:rsid w:val="007C16C6"/>
    <w:rsid w:val="007C2747"/>
    <w:rsid w:val="007C3A6E"/>
    <w:rsid w:val="007C4DF4"/>
    <w:rsid w:val="007C727B"/>
    <w:rsid w:val="007C772A"/>
    <w:rsid w:val="007C7C75"/>
    <w:rsid w:val="007D26E7"/>
    <w:rsid w:val="007D2911"/>
    <w:rsid w:val="007D3346"/>
    <w:rsid w:val="007D4BEC"/>
    <w:rsid w:val="007D586E"/>
    <w:rsid w:val="007D671F"/>
    <w:rsid w:val="007D6955"/>
    <w:rsid w:val="007E0637"/>
    <w:rsid w:val="007E1CDB"/>
    <w:rsid w:val="007E28C7"/>
    <w:rsid w:val="007E2EC2"/>
    <w:rsid w:val="007E56A5"/>
    <w:rsid w:val="007E5933"/>
    <w:rsid w:val="007F13E5"/>
    <w:rsid w:val="007F2251"/>
    <w:rsid w:val="007F4CA6"/>
    <w:rsid w:val="007F63F6"/>
    <w:rsid w:val="007F6A70"/>
    <w:rsid w:val="007F6AEA"/>
    <w:rsid w:val="007F7743"/>
    <w:rsid w:val="00800527"/>
    <w:rsid w:val="0080273B"/>
    <w:rsid w:val="00803E36"/>
    <w:rsid w:val="00803F25"/>
    <w:rsid w:val="00804784"/>
    <w:rsid w:val="008108EF"/>
    <w:rsid w:val="008147C8"/>
    <w:rsid w:val="00814A2A"/>
    <w:rsid w:val="00814AA1"/>
    <w:rsid w:val="0081599D"/>
    <w:rsid w:val="0082125E"/>
    <w:rsid w:val="008215B8"/>
    <w:rsid w:val="0082296D"/>
    <w:rsid w:val="00824D71"/>
    <w:rsid w:val="0082576D"/>
    <w:rsid w:val="00825869"/>
    <w:rsid w:val="00826D35"/>
    <w:rsid w:val="00826FE1"/>
    <w:rsid w:val="00833129"/>
    <w:rsid w:val="00833B09"/>
    <w:rsid w:val="00836AB1"/>
    <w:rsid w:val="0083727C"/>
    <w:rsid w:val="008376CD"/>
    <w:rsid w:val="008407E1"/>
    <w:rsid w:val="00840937"/>
    <w:rsid w:val="00840C67"/>
    <w:rsid w:val="0084303F"/>
    <w:rsid w:val="00844528"/>
    <w:rsid w:val="0084720E"/>
    <w:rsid w:val="00850442"/>
    <w:rsid w:val="00850476"/>
    <w:rsid w:val="00850D60"/>
    <w:rsid w:val="0085101A"/>
    <w:rsid w:val="00851655"/>
    <w:rsid w:val="00851E37"/>
    <w:rsid w:val="00852CD9"/>
    <w:rsid w:val="008541E1"/>
    <w:rsid w:val="00856453"/>
    <w:rsid w:val="00856B28"/>
    <w:rsid w:val="0085724F"/>
    <w:rsid w:val="00860AF9"/>
    <w:rsid w:val="00861ED2"/>
    <w:rsid w:val="008628C6"/>
    <w:rsid w:val="00865005"/>
    <w:rsid w:val="00865D5D"/>
    <w:rsid w:val="00866206"/>
    <w:rsid w:val="00866CF8"/>
    <w:rsid w:val="008673EF"/>
    <w:rsid w:val="00871739"/>
    <w:rsid w:val="00872326"/>
    <w:rsid w:val="00874418"/>
    <w:rsid w:val="00875742"/>
    <w:rsid w:val="0087584D"/>
    <w:rsid w:val="0087799A"/>
    <w:rsid w:val="00880CB4"/>
    <w:rsid w:val="008817AB"/>
    <w:rsid w:val="0088261D"/>
    <w:rsid w:val="00882B55"/>
    <w:rsid w:val="00883A5C"/>
    <w:rsid w:val="00884EA1"/>
    <w:rsid w:val="00890E75"/>
    <w:rsid w:val="008913A9"/>
    <w:rsid w:val="0089146F"/>
    <w:rsid w:val="00892F92"/>
    <w:rsid w:val="008930FF"/>
    <w:rsid w:val="008947AE"/>
    <w:rsid w:val="00896C14"/>
    <w:rsid w:val="008A0B34"/>
    <w:rsid w:val="008A0D6F"/>
    <w:rsid w:val="008A1583"/>
    <w:rsid w:val="008A20F6"/>
    <w:rsid w:val="008A26F4"/>
    <w:rsid w:val="008A3ECD"/>
    <w:rsid w:val="008A50D4"/>
    <w:rsid w:val="008A5827"/>
    <w:rsid w:val="008A5FFB"/>
    <w:rsid w:val="008A7FDC"/>
    <w:rsid w:val="008B0AE6"/>
    <w:rsid w:val="008B0DF3"/>
    <w:rsid w:val="008B13C9"/>
    <w:rsid w:val="008B26CC"/>
    <w:rsid w:val="008B27EB"/>
    <w:rsid w:val="008B2D58"/>
    <w:rsid w:val="008B33A6"/>
    <w:rsid w:val="008B3DFA"/>
    <w:rsid w:val="008B4147"/>
    <w:rsid w:val="008B4FAF"/>
    <w:rsid w:val="008B51A6"/>
    <w:rsid w:val="008B5FCA"/>
    <w:rsid w:val="008C1537"/>
    <w:rsid w:val="008C2584"/>
    <w:rsid w:val="008C5468"/>
    <w:rsid w:val="008D0528"/>
    <w:rsid w:val="008D0F1B"/>
    <w:rsid w:val="008D2167"/>
    <w:rsid w:val="008D3A34"/>
    <w:rsid w:val="008D3A94"/>
    <w:rsid w:val="008D4E44"/>
    <w:rsid w:val="008D6587"/>
    <w:rsid w:val="008E2B09"/>
    <w:rsid w:val="008E3250"/>
    <w:rsid w:val="008E3C12"/>
    <w:rsid w:val="008E4990"/>
    <w:rsid w:val="008E4D3A"/>
    <w:rsid w:val="008E6D7D"/>
    <w:rsid w:val="008F07ED"/>
    <w:rsid w:val="008F1006"/>
    <w:rsid w:val="008F2400"/>
    <w:rsid w:val="008F49A9"/>
    <w:rsid w:val="008F5AF7"/>
    <w:rsid w:val="008F672D"/>
    <w:rsid w:val="009013D1"/>
    <w:rsid w:val="00903F8A"/>
    <w:rsid w:val="009065E9"/>
    <w:rsid w:val="0090676F"/>
    <w:rsid w:val="009076E8"/>
    <w:rsid w:val="00907C06"/>
    <w:rsid w:val="00910EF3"/>
    <w:rsid w:val="00911AD1"/>
    <w:rsid w:val="00916C63"/>
    <w:rsid w:val="00920D22"/>
    <w:rsid w:val="0092241E"/>
    <w:rsid w:val="00923C1C"/>
    <w:rsid w:val="00925A53"/>
    <w:rsid w:val="009262B9"/>
    <w:rsid w:val="00926B5F"/>
    <w:rsid w:val="009312B5"/>
    <w:rsid w:val="00933D5A"/>
    <w:rsid w:val="00934ABE"/>
    <w:rsid w:val="009356D9"/>
    <w:rsid w:val="009359F9"/>
    <w:rsid w:val="00935A5A"/>
    <w:rsid w:val="00936DAD"/>
    <w:rsid w:val="0093709B"/>
    <w:rsid w:val="0093778F"/>
    <w:rsid w:val="00937C84"/>
    <w:rsid w:val="00941984"/>
    <w:rsid w:val="00944DD5"/>
    <w:rsid w:val="00950CF8"/>
    <w:rsid w:val="00952368"/>
    <w:rsid w:val="00954BF2"/>
    <w:rsid w:val="00955241"/>
    <w:rsid w:val="009561D7"/>
    <w:rsid w:val="00957AD7"/>
    <w:rsid w:val="00960B10"/>
    <w:rsid w:val="009630D8"/>
    <w:rsid w:val="009658C3"/>
    <w:rsid w:val="00965C81"/>
    <w:rsid w:val="00966DFD"/>
    <w:rsid w:val="00967220"/>
    <w:rsid w:val="009678FA"/>
    <w:rsid w:val="00967C0D"/>
    <w:rsid w:val="00970F0B"/>
    <w:rsid w:val="00972589"/>
    <w:rsid w:val="00972D4C"/>
    <w:rsid w:val="00973B0D"/>
    <w:rsid w:val="00974730"/>
    <w:rsid w:val="00975D4B"/>
    <w:rsid w:val="00975E77"/>
    <w:rsid w:val="0097739D"/>
    <w:rsid w:val="00977910"/>
    <w:rsid w:val="0098015C"/>
    <w:rsid w:val="00980A06"/>
    <w:rsid w:val="00982205"/>
    <w:rsid w:val="00982436"/>
    <w:rsid w:val="0098558B"/>
    <w:rsid w:val="00985A51"/>
    <w:rsid w:val="0098628E"/>
    <w:rsid w:val="00987DDA"/>
    <w:rsid w:val="009910CD"/>
    <w:rsid w:val="00994873"/>
    <w:rsid w:val="00996779"/>
    <w:rsid w:val="00996F8A"/>
    <w:rsid w:val="0099757F"/>
    <w:rsid w:val="009A1775"/>
    <w:rsid w:val="009A2059"/>
    <w:rsid w:val="009A46F6"/>
    <w:rsid w:val="009A5DC1"/>
    <w:rsid w:val="009A6AFB"/>
    <w:rsid w:val="009A6E98"/>
    <w:rsid w:val="009B12D8"/>
    <w:rsid w:val="009B3619"/>
    <w:rsid w:val="009B4520"/>
    <w:rsid w:val="009B496A"/>
    <w:rsid w:val="009C0BAB"/>
    <w:rsid w:val="009C0D7B"/>
    <w:rsid w:val="009C1978"/>
    <w:rsid w:val="009C1F8B"/>
    <w:rsid w:val="009C2AFF"/>
    <w:rsid w:val="009C4CC2"/>
    <w:rsid w:val="009C50D6"/>
    <w:rsid w:val="009C5327"/>
    <w:rsid w:val="009C57F4"/>
    <w:rsid w:val="009C5929"/>
    <w:rsid w:val="009C5D15"/>
    <w:rsid w:val="009C63B0"/>
    <w:rsid w:val="009D0380"/>
    <w:rsid w:val="009D0D97"/>
    <w:rsid w:val="009D1134"/>
    <w:rsid w:val="009D35D4"/>
    <w:rsid w:val="009D36CE"/>
    <w:rsid w:val="009D584D"/>
    <w:rsid w:val="009D6796"/>
    <w:rsid w:val="009D719C"/>
    <w:rsid w:val="009D7288"/>
    <w:rsid w:val="009D768E"/>
    <w:rsid w:val="009D7844"/>
    <w:rsid w:val="009E0E45"/>
    <w:rsid w:val="009E4E01"/>
    <w:rsid w:val="009E595D"/>
    <w:rsid w:val="009E59E5"/>
    <w:rsid w:val="009E5D56"/>
    <w:rsid w:val="009E65B6"/>
    <w:rsid w:val="009E7337"/>
    <w:rsid w:val="009E747C"/>
    <w:rsid w:val="009E7D9B"/>
    <w:rsid w:val="009F0CD8"/>
    <w:rsid w:val="009F0ECF"/>
    <w:rsid w:val="009F18F2"/>
    <w:rsid w:val="009F23FC"/>
    <w:rsid w:val="009F2633"/>
    <w:rsid w:val="009F3E96"/>
    <w:rsid w:val="009F72C4"/>
    <w:rsid w:val="009F7438"/>
    <w:rsid w:val="009F776B"/>
    <w:rsid w:val="00A00D55"/>
    <w:rsid w:val="00A04D4B"/>
    <w:rsid w:val="00A06DA5"/>
    <w:rsid w:val="00A07AC6"/>
    <w:rsid w:val="00A10C75"/>
    <w:rsid w:val="00A158F7"/>
    <w:rsid w:val="00A16F54"/>
    <w:rsid w:val="00A16F8A"/>
    <w:rsid w:val="00A173CB"/>
    <w:rsid w:val="00A202E3"/>
    <w:rsid w:val="00A20494"/>
    <w:rsid w:val="00A212B5"/>
    <w:rsid w:val="00A22C38"/>
    <w:rsid w:val="00A23F23"/>
    <w:rsid w:val="00A244A2"/>
    <w:rsid w:val="00A248C5"/>
    <w:rsid w:val="00A27F3F"/>
    <w:rsid w:val="00A301F9"/>
    <w:rsid w:val="00A30692"/>
    <w:rsid w:val="00A323D3"/>
    <w:rsid w:val="00A33E57"/>
    <w:rsid w:val="00A41D41"/>
    <w:rsid w:val="00A4228F"/>
    <w:rsid w:val="00A430D3"/>
    <w:rsid w:val="00A450E1"/>
    <w:rsid w:val="00A4567E"/>
    <w:rsid w:val="00A46B2B"/>
    <w:rsid w:val="00A477C7"/>
    <w:rsid w:val="00A50D8A"/>
    <w:rsid w:val="00A51177"/>
    <w:rsid w:val="00A51C5C"/>
    <w:rsid w:val="00A56FBD"/>
    <w:rsid w:val="00A57515"/>
    <w:rsid w:val="00A60DBB"/>
    <w:rsid w:val="00A61B19"/>
    <w:rsid w:val="00A65D06"/>
    <w:rsid w:val="00A664E4"/>
    <w:rsid w:val="00A714C8"/>
    <w:rsid w:val="00A71CB5"/>
    <w:rsid w:val="00A72441"/>
    <w:rsid w:val="00A74574"/>
    <w:rsid w:val="00A74913"/>
    <w:rsid w:val="00A75104"/>
    <w:rsid w:val="00A76F4B"/>
    <w:rsid w:val="00A77D7E"/>
    <w:rsid w:val="00A81314"/>
    <w:rsid w:val="00A81334"/>
    <w:rsid w:val="00A81B48"/>
    <w:rsid w:val="00A82176"/>
    <w:rsid w:val="00A82CD7"/>
    <w:rsid w:val="00A85B16"/>
    <w:rsid w:val="00A9035A"/>
    <w:rsid w:val="00A9061E"/>
    <w:rsid w:val="00A9085C"/>
    <w:rsid w:val="00A95041"/>
    <w:rsid w:val="00A95ED6"/>
    <w:rsid w:val="00A96D66"/>
    <w:rsid w:val="00A97EB9"/>
    <w:rsid w:val="00AA372C"/>
    <w:rsid w:val="00AA3BC8"/>
    <w:rsid w:val="00AA4F73"/>
    <w:rsid w:val="00AA5007"/>
    <w:rsid w:val="00AA611D"/>
    <w:rsid w:val="00AB3A21"/>
    <w:rsid w:val="00AB4320"/>
    <w:rsid w:val="00AB5F51"/>
    <w:rsid w:val="00AB7A21"/>
    <w:rsid w:val="00AC0F41"/>
    <w:rsid w:val="00AC1A48"/>
    <w:rsid w:val="00AC23E2"/>
    <w:rsid w:val="00AC2A05"/>
    <w:rsid w:val="00AD01AD"/>
    <w:rsid w:val="00AD40DA"/>
    <w:rsid w:val="00AD74A6"/>
    <w:rsid w:val="00AD7BB9"/>
    <w:rsid w:val="00AE1958"/>
    <w:rsid w:val="00AE224C"/>
    <w:rsid w:val="00AE45B8"/>
    <w:rsid w:val="00AE51D7"/>
    <w:rsid w:val="00AE5A30"/>
    <w:rsid w:val="00AE7752"/>
    <w:rsid w:val="00AF03FD"/>
    <w:rsid w:val="00AF08B6"/>
    <w:rsid w:val="00AF1CB9"/>
    <w:rsid w:val="00AF25B3"/>
    <w:rsid w:val="00AF34F8"/>
    <w:rsid w:val="00AF5078"/>
    <w:rsid w:val="00AF5671"/>
    <w:rsid w:val="00AF5A9E"/>
    <w:rsid w:val="00AF645F"/>
    <w:rsid w:val="00AF653B"/>
    <w:rsid w:val="00B01128"/>
    <w:rsid w:val="00B01F7B"/>
    <w:rsid w:val="00B02E51"/>
    <w:rsid w:val="00B0308F"/>
    <w:rsid w:val="00B03258"/>
    <w:rsid w:val="00B03CFE"/>
    <w:rsid w:val="00B06F3D"/>
    <w:rsid w:val="00B1035D"/>
    <w:rsid w:val="00B112BF"/>
    <w:rsid w:val="00B1130F"/>
    <w:rsid w:val="00B11F5A"/>
    <w:rsid w:val="00B14480"/>
    <w:rsid w:val="00B1449C"/>
    <w:rsid w:val="00B149E5"/>
    <w:rsid w:val="00B15C0C"/>
    <w:rsid w:val="00B16E0B"/>
    <w:rsid w:val="00B17202"/>
    <w:rsid w:val="00B17DA0"/>
    <w:rsid w:val="00B20921"/>
    <w:rsid w:val="00B2137C"/>
    <w:rsid w:val="00B219FE"/>
    <w:rsid w:val="00B21BD4"/>
    <w:rsid w:val="00B26E2C"/>
    <w:rsid w:val="00B270B1"/>
    <w:rsid w:val="00B271CC"/>
    <w:rsid w:val="00B31483"/>
    <w:rsid w:val="00B3420B"/>
    <w:rsid w:val="00B35029"/>
    <w:rsid w:val="00B353B7"/>
    <w:rsid w:val="00B35DF0"/>
    <w:rsid w:val="00B36A60"/>
    <w:rsid w:val="00B36A6D"/>
    <w:rsid w:val="00B36D9A"/>
    <w:rsid w:val="00B37194"/>
    <w:rsid w:val="00B450EE"/>
    <w:rsid w:val="00B4548D"/>
    <w:rsid w:val="00B457AA"/>
    <w:rsid w:val="00B46E1F"/>
    <w:rsid w:val="00B4789D"/>
    <w:rsid w:val="00B47AA2"/>
    <w:rsid w:val="00B47F29"/>
    <w:rsid w:val="00B511F4"/>
    <w:rsid w:val="00B51F91"/>
    <w:rsid w:val="00B528A7"/>
    <w:rsid w:val="00B55CA3"/>
    <w:rsid w:val="00B55DC2"/>
    <w:rsid w:val="00B561A2"/>
    <w:rsid w:val="00B56D70"/>
    <w:rsid w:val="00B57203"/>
    <w:rsid w:val="00B57D70"/>
    <w:rsid w:val="00B60BE6"/>
    <w:rsid w:val="00B62218"/>
    <w:rsid w:val="00B631F5"/>
    <w:rsid w:val="00B632C6"/>
    <w:rsid w:val="00B65801"/>
    <w:rsid w:val="00B65944"/>
    <w:rsid w:val="00B65CB3"/>
    <w:rsid w:val="00B66492"/>
    <w:rsid w:val="00B66A1B"/>
    <w:rsid w:val="00B70C69"/>
    <w:rsid w:val="00B7313D"/>
    <w:rsid w:val="00B73EFF"/>
    <w:rsid w:val="00B74A98"/>
    <w:rsid w:val="00B74F4A"/>
    <w:rsid w:val="00B7536D"/>
    <w:rsid w:val="00B75AC8"/>
    <w:rsid w:val="00B76353"/>
    <w:rsid w:val="00B76429"/>
    <w:rsid w:val="00B76AE6"/>
    <w:rsid w:val="00B76B29"/>
    <w:rsid w:val="00B80A1D"/>
    <w:rsid w:val="00B816E9"/>
    <w:rsid w:val="00B81CCE"/>
    <w:rsid w:val="00B83CAC"/>
    <w:rsid w:val="00B83FB1"/>
    <w:rsid w:val="00B846FA"/>
    <w:rsid w:val="00B85CD2"/>
    <w:rsid w:val="00B86826"/>
    <w:rsid w:val="00B87158"/>
    <w:rsid w:val="00B9033B"/>
    <w:rsid w:val="00B907ED"/>
    <w:rsid w:val="00B90A2F"/>
    <w:rsid w:val="00B915D0"/>
    <w:rsid w:val="00B91AA3"/>
    <w:rsid w:val="00B9377D"/>
    <w:rsid w:val="00B93BA1"/>
    <w:rsid w:val="00B941B3"/>
    <w:rsid w:val="00B950A2"/>
    <w:rsid w:val="00B96B9A"/>
    <w:rsid w:val="00BA5114"/>
    <w:rsid w:val="00BA5384"/>
    <w:rsid w:val="00BA617D"/>
    <w:rsid w:val="00BA65B8"/>
    <w:rsid w:val="00BA6E44"/>
    <w:rsid w:val="00BB1109"/>
    <w:rsid w:val="00BB40DA"/>
    <w:rsid w:val="00BB563A"/>
    <w:rsid w:val="00BB6A46"/>
    <w:rsid w:val="00BB79C4"/>
    <w:rsid w:val="00BB7AA7"/>
    <w:rsid w:val="00BC07BC"/>
    <w:rsid w:val="00BC0881"/>
    <w:rsid w:val="00BC0905"/>
    <w:rsid w:val="00BC0F03"/>
    <w:rsid w:val="00BC1973"/>
    <w:rsid w:val="00BC1D08"/>
    <w:rsid w:val="00BC1FCC"/>
    <w:rsid w:val="00BC36BA"/>
    <w:rsid w:val="00BC4C85"/>
    <w:rsid w:val="00BC4CCC"/>
    <w:rsid w:val="00BC676C"/>
    <w:rsid w:val="00BD3C46"/>
    <w:rsid w:val="00BD4BC0"/>
    <w:rsid w:val="00BD6140"/>
    <w:rsid w:val="00BE1EB6"/>
    <w:rsid w:val="00BE50E6"/>
    <w:rsid w:val="00BF02CF"/>
    <w:rsid w:val="00BF318A"/>
    <w:rsid w:val="00BF552B"/>
    <w:rsid w:val="00C01AA5"/>
    <w:rsid w:val="00C060F7"/>
    <w:rsid w:val="00C063A1"/>
    <w:rsid w:val="00C10666"/>
    <w:rsid w:val="00C11089"/>
    <w:rsid w:val="00C117AE"/>
    <w:rsid w:val="00C13462"/>
    <w:rsid w:val="00C1588F"/>
    <w:rsid w:val="00C16AF4"/>
    <w:rsid w:val="00C16F95"/>
    <w:rsid w:val="00C214E8"/>
    <w:rsid w:val="00C227C8"/>
    <w:rsid w:val="00C245D8"/>
    <w:rsid w:val="00C2483F"/>
    <w:rsid w:val="00C255B8"/>
    <w:rsid w:val="00C25F7B"/>
    <w:rsid w:val="00C27033"/>
    <w:rsid w:val="00C310FA"/>
    <w:rsid w:val="00C334AA"/>
    <w:rsid w:val="00C33933"/>
    <w:rsid w:val="00C4029B"/>
    <w:rsid w:val="00C4074B"/>
    <w:rsid w:val="00C40AAE"/>
    <w:rsid w:val="00C42868"/>
    <w:rsid w:val="00C43861"/>
    <w:rsid w:val="00C43B10"/>
    <w:rsid w:val="00C467BB"/>
    <w:rsid w:val="00C50D9C"/>
    <w:rsid w:val="00C51D8A"/>
    <w:rsid w:val="00C5268D"/>
    <w:rsid w:val="00C5352C"/>
    <w:rsid w:val="00C53679"/>
    <w:rsid w:val="00C577F1"/>
    <w:rsid w:val="00C6235A"/>
    <w:rsid w:val="00C67BEA"/>
    <w:rsid w:val="00C737ED"/>
    <w:rsid w:val="00C7574E"/>
    <w:rsid w:val="00C803DA"/>
    <w:rsid w:val="00C80AE6"/>
    <w:rsid w:val="00C819AA"/>
    <w:rsid w:val="00C81D4D"/>
    <w:rsid w:val="00C8454B"/>
    <w:rsid w:val="00C85259"/>
    <w:rsid w:val="00C85633"/>
    <w:rsid w:val="00C86960"/>
    <w:rsid w:val="00C954E8"/>
    <w:rsid w:val="00C95531"/>
    <w:rsid w:val="00C95DC1"/>
    <w:rsid w:val="00C96B28"/>
    <w:rsid w:val="00C96DA0"/>
    <w:rsid w:val="00CA31F7"/>
    <w:rsid w:val="00CA4ED8"/>
    <w:rsid w:val="00CA5AF2"/>
    <w:rsid w:val="00CB16DF"/>
    <w:rsid w:val="00CB195B"/>
    <w:rsid w:val="00CB2182"/>
    <w:rsid w:val="00CB277C"/>
    <w:rsid w:val="00CB33ED"/>
    <w:rsid w:val="00CB4008"/>
    <w:rsid w:val="00CC331C"/>
    <w:rsid w:val="00CC4299"/>
    <w:rsid w:val="00CC4B24"/>
    <w:rsid w:val="00CC7DAF"/>
    <w:rsid w:val="00CD095D"/>
    <w:rsid w:val="00CD222B"/>
    <w:rsid w:val="00CD4AB9"/>
    <w:rsid w:val="00CD4B30"/>
    <w:rsid w:val="00CE1766"/>
    <w:rsid w:val="00CE2F63"/>
    <w:rsid w:val="00CE3A47"/>
    <w:rsid w:val="00CE3D62"/>
    <w:rsid w:val="00CE42F1"/>
    <w:rsid w:val="00CE6648"/>
    <w:rsid w:val="00CE7E9E"/>
    <w:rsid w:val="00CF0E9D"/>
    <w:rsid w:val="00CF1D38"/>
    <w:rsid w:val="00CF1F0B"/>
    <w:rsid w:val="00CF213C"/>
    <w:rsid w:val="00CF2979"/>
    <w:rsid w:val="00CF4B1A"/>
    <w:rsid w:val="00CF6125"/>
    <w:rsid w:val="00CF6635"/>
    <w:rsid w:val="00CF6BB3"/>
    <w:rsid w:val="00CF71BF"/>
    <w:rsid w:val="00CF7745"/>
    <w:rsid w:val="00D00D93"/>
    <w:rsid w:val="00D034EA"/>
    <w:rsid w:val="00D03578"/>
    <w:rsid w:val="00D0383E"/>
    <w:rsid w:val="00D05501"/>
    <w:rsid w:val="00D05B9F"/>
    <w:rsid w:val="00D06F5A"/>
    <w:rsid w:val="00D079C7"/>
    <w:rsid w:val="00D10C2A"/>
    <w:rsid w:val="00D11DC2"/>
    <w:rsid w:val="00D124BB"/>
    <w:rsid w:val="00D1262C"/>
    <w:rsid w:val="00D163D2"/>
    <w:rsid w:val="00D173BF"/>
    <w:rsid w:val="00D20C09"/>
    <w:rsid w:val="00D228D1"/>
    <w:rsid w:val="00D23CFB"/>
    <w:rsid w:val="00D241F9"/>
    <w:rsid w:val="00D2461F"/>
    <w:rsid w:val="00D27DB9"/>
    <w:rsid w:val="00D30068"/>
    <w:rsid w:val="00D31CEF"/>
    <w:rsid w:val="00D33C4F"/>
    <w:rsid w:val="00D33F0B"/>
    <w:rsid w:val="00D349D0"/>
    <w:rsid w:val="00D3626B"/>
    <w:rsid w:val="00D37AA1"/>
    <w:rsid w:val="00D37B07"/>
    <w:rsid w:val="00D37BA3"/>
    <w:rsid w:val="00D405BB"/>
    <w:rsid w:val="00D40F73"/>
    <w:rsid w:val="00D4114B"/>
    <w:rsid w:val="00D4283E"/>
    <w:rsid w:val="00D431F3"/>
    <w:rsid w:val="00D438FF"/>
    <w:rsid w:val="00D44474"/>
    <w:rsid w:val="00D444BF"/>
    <w:rsid w:val="00D45BF8"/>
    <w:rsid w:val="00D47609"/>
    <w:rsid w:val="00D5064F"/>
    <w:rsid w:val="00D516C9"/>
    <w:rsid w:val="00D51C4D"/>
    <w:rsid w:val="00D5616E"/>
    <w:rsid w:val="00D575D6"/>
    <w:rsid w:val="00D60F74"/>
    <w:rsid w:val="00D62434"/>
    <w:rsid w:val="00D63333"/>
    <w:rsid w:val="00D63B2D"/>
    <w:rsid w:val="00D63D7B"/>
    <w:rsid w:val="00D65430"/>
    <w:rsid w:val="00D748E0"/>
    <w:rsid w:val="00D76524"/>
    <w:rsid w:val="00D76C4E"/>
    <w:rsid w:val="00D76CEA"/>
    <w:rsid w:val="00D81B8E"/>
    <w:rsid w:val="00D82C57"/>
    <w:rsid w:val="00D847ED"/>
    <w:rsid w:val="00D857CE"/>
    <w:rsid w:val="00D8661F"/>
    <w:rsid w:val="00D87BA0"/>
    <w:rsid w:val="00D9045A"/>
    <w:rsid w:val="00D925E8"/>
    <w:rsid w:val="00D926B5"/>
    <w:rsid w:val="00D928A7"/>
    <w:rsid w:val="00D92C54"/>
    <w:rsid w:val="00D94FB3"/>
    <w:rsid w:val="00D94FFF"/>
    <w:rsid w:val="00DA3621"/>
    <w:rsid w:val="00DA3DD4"/>
    <w:rsid w:val="00DA430B"/>
    <w:rsid w:val="00DA5DF5"/>
    <w:rsid w:val="00DA64EC"/>
    <w:rsid w:val="00DB0730"/>
    <w:rsid w:val="00DB27CF"/>
    <w:rsid w:val="00DB3F16"/>
    <w:rsid w:val="00DB41B2"/>
    <w:rsid w:val="00DB4BDF"/>
    <w:rsid w:val="00DB5535"/>
    <w:rsid w:val="00DB5598"/>
    <w:rsid w:val="00DB59AB"/>
    <w:rsid w:val="00DB64C7"/>
    <w:rsid w:val="00DC09D5"/>
    <w:rsid w:val="00DC2B52"/>
    <w:rsid w:val="00DC35E6"/>
    <w:rsid w:val="00DC61E2"/>
    <w:rsid w:val="00DC61FB"/>
    <w:rsid w:val="00DC625D"/>
    <w:rsid w:val="00DC6736"/>
    <w:rsid w:val="00DC7948"/>
    <w:rsid w:val="00DD0BC0"/>
    <w:rsid w:val="00DD1BC3"/>
    <w:rsid w:val="00DD2020"/>
    <w:rsid w:val="00DD2E7D"/>
    <w:rsid w:val="00DD6F6D"/>
    <w:rsid w:val="00DD7D8D"/>
    <w:rsid w:val="00DE182D"/>
    <w:rsid w:val="00DE2FB8"/>
    <w:rsid w:val="00DE39FA"/>
    <w:rsid w:val="00DE3D71"/>
    <w:rsid w:val="00DE3FA1"/>
    <w:rsid w:val="00DE5FA9"/>
    <w:rsid w:val="00DF2CF3"/>
    <w:rsid w:val="00DF4F30"/>
    <w:rsid w:val="00DF510D"/>
    <w:rsid w:val="00DF65C6"/>
    <w:rsid w:val="00DF7D16"/>
    <w:rsid w:val="00E010B8"/>
    <w:rsid w:val="00E01F4D"/>
    <w:rsid w:val="00E03F09"/>
    <w:rsid w:val="00E05378"/>
    <w:rsid w:val="00E061C7"/>
    <w:rsid w:val="00E06CF5"/>
    <w:rsid w:val="00E072A7"/>
    <w:rsid w:val="00E1095A"/>
    <w:rsid w:val="00E11234"/>
    <w:rsid w:val="00E11355"/>
    <w:rsid w:val="00E20836"/>
    <w:rsid w:val="00E21E34"/>
    <w:rsid w:val="00E2376B"/>
    <w:rsid w:val="00E241EF"/>
    <w:rsid w:val="00E24563"/>
    <w:rsid w:val="00E24ACD"/>
    <w:rsid w:val="00E27B05"/>
    <w:rsid w:val="00E30CA5"/>
    <w:rsid w:val="00E33EBC"/>
    <w:rsid w:val="00E33FD0"/>
    <w:rsid w:val="00E34D06"/>
    <w:rsid w:val="00E35A0C"/>
    <w:rsid w:val="00E35BFE"/>
    <w:rsid w:val="00E37ABD"/>
    <w:rsid w:val="00E37D54"/>
    <w:rsid w:val="00E40D75"/>
    <w:rsid w:val="00E449E4"/>
    <w:rsid w:val="00E4642A"/>
    <w:rsid w:val="00E479E9"/>
    <w:rsid w:val="00E47EA8"/>
    <w:rsid w:val="00E5181A"/>
    <w:rsid w:val="00E53927"/>
    <w:rsid w:val="00E557D1"/>
    <w:rsid w:val="00E558F0"/>
    <w:rsid w:val="00E55DC7"/>
    <w:rsid w:val="00E60C42"/>
    <w:rsid w:val="00E626E5"/>
    <w:rsid w:val="00E635A1"/>
    <w:rsid w:val="00E70039"/>
    <w:rsid w:val="00E71649"/>
    <w:rsid w:val="00E72478"/>
    <w:rsid w:val="00E74545"/>
    <w:rsid w:val="00E75257"/>
    <w:rsid w:val="00E77E62"/>
    <w:rsid w:val="00E80320"/>
    <w:rsid w:val="00E80C9E"/>
    <w:rsid w:val="00E81FE5"/>
    <w:rsid w:val="00E82611"/>
    <w:rsid w:val="00E82A1A"/>
    <w:rsid w:val="00E8351E"/>
    <w:rsid w:val="00E85593"/>
    <w:rsid w:val="00E855B5"/>
    <w:rsid w:val="00E859B6"/>
    <w:rsid w:val="00E86FE8"/>
    <w:rsid w:val="00E8767C"/>
    <w:rsid w:val="00E9263F"/>
    <w:rsid w:val="00E930EE"/>
    <w:rsid w:val="00E93999"/>
    <w:rsid w:val="00E94945"/>
    <w:rsid w:val="00E9694D"/>
    <w:rsid w:val="00EA1173"/>
    <w:rsid w:val="00EA1E84"/>
    <w:rsid w:val="00EA5815"/>
    <w:rsid w:val="00EA58BB"/>
    <w:rsid w:val="00EB0AAA"/>
    <w:rsid w:val="00EB1471"/>
    <w:rsid w:val="00EB1A79"/>
    <w:rsid w:val="00EB254B"/>
    <w:rsid w:val="00EB3151"/>
    <w:rsid w:val="00EB416B"/>
    <w:rsid w:val="00EB4375"/>
    <w:rsid w:val="00EB64AF"/>
    <w:rsid w:val="00EC173C"/>
    <w:rsid w:val="00EC176A"/>
    <w:rsid w:val="00EC1F68"/>
    <w:rsid w:val="00EC3F93"/>
    <w:rsid w:val="00EC4C9B"/>
    <w:rsid w:val="00EC5743"/>
    <w:rsid w:val="00EC5790"/>
    <w:rsid w:val="00EC60E8"/>
    <w:rsid w:val="00EC6F38"/>
    <w:rsid w:val="00EC773B"/>
    <w:rsid w:val="00ED0D4C"/>
    <w:rsid w:val="00ED0E49"/>
    <w:rsid w:val="00ED5A64"/>
    <w:rsid w:val="00ED5E92"/>
    <w:rsid w:val="00ED6F65"/>
    <w:rsid w:val="00ED7156"/>
    <w:rsid w:val="00ED734B"/>
    <w:rsid w:val="00EE014F"/>
    <w:rsid w:val="00EE186B"/>
    <w:rsid w:val="00EE413E"/>
    <w:rsid w:val="00EE462B"/>
    <w:rsid w:val="00EE4C94"/>
    <w:rsid w:val="00EE53AA"/>
    <w:rsid w:val="00EE62B7"/>
    <w:rsid w:val="00EF2487"/>
    <w:rsid w:val="00EF3331"/>
    <w:rsid w:val="00EF3C86"/>
    <w:rsid w:val="00EF5D33"/>
    <w:rsid w:val="00EF5FEE"/>
    <w:rsid w:val="00EF710C"/>
    <w:rsid w:val="00F033B6"/>
    <w:rsid w:val="00F03C07"/>
    <w:rsid w:val="00F04577"/>
    <w:rsid w:val="00F05F1C"/>
    <w:rsid w:val="00F063CF"/>
    <w:rsid w:val="00F07CC7"/>
    <w:rsid w:val="00F07EC9"/>
    <w:rsid w:val="00F12063"/>
    <w:rsid w:val="00F13E5C"/>
    <w:rsid w:val="00F165F2"/>
    <w:rsid w:val="00F175FB"/>
    <w:rsid w:val="00F2454D"/>
    <w:rsid w:val="00F26436"/>
    <w:rsid w:val="00F2728C"/>
    <w:rsid w:val="00F275F6"/>
    <w:rsid w:val="00F3025B"/>
    <w:rsid w:val="00F313D0"/>
    <w:rsid w:val="00F3290A"/>
    <w:rsid w:val="00F33EC0"/>
    <w:rsid w:val="00F368D8"/>
    <w:rsid w:val="00F37778"/>
    <w:rsid w:val="00F411E2"/>
    <w:rsid w:val="00F412DF"/>
    <w:rsid w:val="00F4460D"/>
    <w:rsid w:val="00F44D7F"/>
    <w:rsid w:val="00F458C4"/>
    <w:rsid w:val="00F50040"/>
    <w:rsid w:val="00F50721"/>
    <w:rsid w:val="00F53E58"/>
    <w:rsid w:val="00F56DED"/>
    <w:rsid w:val="00F60BF8"/>
    <w:rsid w:val="00F6301F"/>
    <w:rsid w:val="00F63A4A"/>
    <w:rsid w:val="00F63C44"/>
    <w:rsid w:val="00F70C14"/>
    <w:rsid w:val="00F72232"/>
    <w:rsid w:val="00F7256E"/>
    <w:rsid w:val="00F7274B"/>
    <w:rsid w:val="00F74E31"/>
    <w:rsid w:val="00F7615A"/>
    <w:rsid w:val="00F80102"/>
    <w:rsid w:val="00F8043D"/>
    <w:rsid w:val="00F809B5"/>
    <w:rsid w:val="00F862C5"/>
    <w:rsid w:val="00F87BD7"/>
    <w:rsid w:val="00F90387"/>
    <w:rsid w:val="00F93795"/>
    <w:rsid w:val="00F94468"/>
    <w:rsid w:val="00F948EB"/>
    <w:rsid w:val="00F95B9F"/>
    <w:rsid w:val="00FA05F1"/>
    <w:rsid w:val="00FA2A1F"/>
    <w:rsid w:val="00FA2F83"/>
    <w:rsid w:val="00FB63AE"/>
    <w:rsid w:val="00FC0B65"/>
    <w:rsid w:val="00FC415E"/>
    <w:rsid w:val="00FC44C3"/>
    <w:rsid w:val="00FC4B26"/>
    <w:rsid w:val="00FD065F"/>
    <w:rsid w:val="00FD1E40"/>
    <w:rsid w:val="00FD2802"/>
    <w:rsid w:val="00FD410E"/>
    <w:rsid w:val="00FD440C"/>
    <w:rsid w:val="00FD4480"/>
    <w:rsid w:val="00FD502D"/>
    <w:rsid w:val="00FD5E02"/>
    <w:rsid w:val="00FD7735"/>
    <w:rsid w:val="00FD7D3E"/>
    <w:rsid w:val="00FE55F5"/>
    <w:rsid w:val="00FE5C00"/>
    <w:rsid w:val="00FE70F3"/>
    <w:rsid w:val="00FE7287"/>
    <w:rsid w:val="00FE79A5"/>
    <w:rsid w:val="00FF02EA"/>
    <w:rsid w:val="00FF0574"/>
    <w:rsid w:val="00FF3C68"/>
    <w:rsid w:val="00FF5076"/>
    <w:rsid w:val="00FF78CF"/>
    <w:rsid w:val="00FF7CE4"/>
    <w:rsid w:val="00FF7E0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4BAE5"/>
  <w15:docId w15:val="{F9793284-F684-4A52-B98A-2D760F93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34"/>
    <w:pPr>
      <w:widowControl w:val="0"/>
      <w:autoSpaceDE w:val="0"/>
      <w:autoSpaceDN w:val="0"/>
      <w:adjustRightInd w:val="0"/>
    </w:pPr>
    <w:rPr>
      <w:szCs w:val="22"/>
    </w:rPr>
  </w:style>
  <w:style w:type="paragraph" w:styleId="Heading1">
    <w:name w:val="heading 1"/>
    <w:basedOn w:val="Normal"/>
    <w:next w:val="Normal"/>
    <w:link w:val="Heading1Char"/>
    <w:qFormat/>
    <w:rsid w:val="009356D9"/>
    <w:pPr>
      <w:keepNext/>
      <w:widowControl/>
      <w:autoSpaceDE/>
      <w:autoSpaceDN/>
      <w:adjustRightInd/>
      <w:jc w:val="center"/>
      <w:outlineLvl w:val="0"/>
    </w:pPr>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60BF8"/>
    <w:pPr>
      <w:spacing w:after="240" w:line="288" w:lineRule="auto"/>
    </w:pPr>
  </w:style>
  <w:style w:type="paragraph" w:customStyle="1" w:styleId="Body1">
    <w:name w:val="Body 1"/>
    <w:basedOn w:val="Body"/>
    <w:rsid w:val="00F60BF8"/>
  </w:style>
  <w:style w:type="paragraph" w:customStyle="1" w:styleId="Body2">
    <w:name w:val="Body 2"/>
    <w:basedOn w:val="Body"/>
    <w:rsid w:val="00F60BF8"/>
    <w:pPr>
      <w:ind w:left="720"/>
    </w:pPr>
  </w:style>
  <w:style w:type="paragraph" w:customStyle="1" w:styleId="Body3">
    <w:name w:val="Body 3"/>
    <w:basedOn w:val="Body"/>
    <w:rsid w:val="00F60BF8"/>
    <w:pPr>
      <w:ind w:left="1440"/>
    </w:pPr>
  </w:style>
  <w:style w:type="paragraph" w:customStyle="1" w:styleId="Body4">
    <w:name w:val="Body 4"/>
    <w:basedOn w:val="Body"/>
    <w:rsid w:val="00F60BF8"/>
    <w:pPr>
      <w:ind w:left="2160"/>
    </w:pPr>
  </w:style>
  <w:style w:type="paragraph" w:customStyle="1" w:styleId="Body5">
    <w:name w:val="Body 5"/>
    <w:basedOn w:val="Body"/>
    <w:rsid w:val="00F60BF8"/>
    <w:pPr>
      <w:ind w:left="2880"/>
    </w:pPr>
  </w:style>
  <w:style w:type="paragraph" w:customStyle="1" w:styleId="Body6">
    <w:name w:val="Body 6"/>
    <w:basedOn w:val="Body"/>
    <w:rsid w:val="00F60BF8"/>
    <w:pPr>
      <w:ind w:left="3600"/>
    </w:pPr>
  </w:style>
  <w:style w:type="paragraph" w:customStyle="1" w:styleId="Body7">
    <w:name w:val="Body 7"/>
    <w:basedOn w:val="Body"/>
    <w:rsid w:val="00F60BF8"/>
    <w:pPr>
      <w:ind w:left="4320"/>
    </w:pPr>
  </w:style>
  <w:style w:type="paragraph" w:customStyle="1" w:styleId="Body8">
    <w:name w:val="Body 8"/>
    <w:basedOn w:val="Body"/>
    <w:rsid w:val="00F60BF8"/>
    <w:pPr>
      <w:ind w:left="5040"/>
    </w:pPr>
  </w:style>
  <w:style w:type="paragraph" w:customStyle="1" w:styleId="BodyHangingLevel1">
    <w:name w:val="Body Hanging Level1"/>
    <w:basedOn w:val="Body"/>
    <w:rsid w:val="00F60BF8"/>
    <w:pPr>
      <w:ind w:left="720" w:hanging="720"/>
    </w:pPr>
  </w:style>
  <w:style w:type="paragraph" w:customStyle="1" w:styleId="BodyHangingLevel2">
    <w:name w:val="Body Hanging Level2"/>
    <w:basedOn w:val="Body"/>
    <w:rsid w:val="00F60BF8"/>
    <w:pPr>
      <w:ind w:left="1440" w:hanging="1440"/>
    </w:pPr>
  </w:style>
  <w:style w:type="paragraph" w:customStyle="1" w:styleId="BodyHangingLevel5">
    <w:name w:val="Body Hanging Level5"/>
    <w:basedOn w:val="Body"/>
    <w:rsid w:val="00F60BF8"/>
    <w:pPr>
      <w:ind w:left="3600" w:hanging="3600"/>
    </w:pPr>
  </w:style>
  <w:style w:type="paragraph" w:customStyle="1" w:styleId="Bullets1">
    <w:name w:val="Bullets 1"/>
    <w:basedOn w:val="Body"/>
    <w:rsid w:val="00F165F2"/>
    <w:pPr>
      <w:numPr>
        <w:numId w:val="1"/>
      </w:numPr>
      <w:outlineLvl w:val="0"/>
    </w:pPr>
  </w:style>
  <w:style w:type="paragraph" w:customStyle="1" w:styleId="Bullets2">
    <w:name w:val="Bullets 2"/>
    <w:basedOn w:val="Body"/>
    <w:rsid w:val="00F165F2"/>
    <w:pPr>
      <w:numPr>
        <w:ilvl w:val="1"/>
        <w:numId w:val="1"/>
      </w:numPr>
    </w:pPr>
  </w:style>
  <w:style w:type="paragraph" w:customStyle="1" w:styleId="Bullets3">
    <w:name w:val="Bullets 3"/>
    <w:basedOn w:val="Body"/>
    <w:rsid w:val="00F165F2"/>
    <w:pPr>
      <w:numPr>
        <w:ilvl w:val="2"/>
        <w:numId w:val="1"/>
      </w:numPr>
    </w:pPr>
  </w:style>
  <w:style w:type="paragraph" w:customStyle="1" w:styleId="Bullets4">
    <w:name w:val="Bullets 4"/>
    <w:basedOn w:val="Body"/>
    <w:rsid w:val="00F165F2"/>
    <w:pPr>
      <w:numPr>
        <w:ilvl w:val="3"/>
        <w:numId w:val="1"/>
      </w:numPr>
    </w:pPr>
  </w:style>
  <w:style w:type="paragraph" w:customStyle="1" w:styleId="Bullets5">
    <w:name w:val="Bullets 5"/>
    <w:basedOn w:val="Body"/>
    <w:rsid w:val="00F165F2"/>
    <w:pPr>
      <w:numPr>
        <w:ilvl w:val="4"/>
        <w:numId w:val="1"/>
      </w:numPr>
    </w:pPr>
  </w:style>
  <w:style w:type="paragraph" w:customStyle="1" w:styleId="Bullets6">
    <w:name w:val="Bullets 6"/>
    <w:basedOn w:val="Body"/>
    <w:rsid w:val="00F165F2"/>
    <w:pPr>
      <w:numPr>
        <w:ilvl w:val="5"/>
        <w:numId w:val="1"/>
      </w:numPr>
    </w:pPr>
  </w:style>
  <w:style w:type="paragraph" w:customStyle="1" w:styleId="Bullets7">
    <w:name w:val="Bullets 7"/>
    <w:basedOn w:val="Body"/>
    <w:rsid w:val="00F165F2"/>
    <w:pPr>
      <w:numPr>
        <w:ilvl w:val="6"/>
        <w:numId w:val="1"/>
      </w:numPr>
    </w:pPr>
  </w:style>
  <w:style w:type="paragraph" w:customStyle="1" w:styleId="Bullets8">
    <w:name w:val="Bullets 8"/>
    <w:basedOn w:val="Body"/>
    <w:rsid w:val="00F165F2"/>
    <w:pPr>
      <w:numPr>
        <w:ilvl w:val="7"/>
        <w:numId w:val="1"/>
      </w:numPr>
    </w:pPr>
  </w:style>
  <w:style w:type="paragraph" w:customStyle="1" w:styleId="Bullets9">
    <w:name w:val="Bullets 9"/>
    <w:basedOn w:val="Body"/>
    <w:rsid w:val="00F165F2"/>
    <w:pPr>
      <w:numPr>
        <w:ilvl w:val="8"/>
        <w:numId w:val="1"/>
      </w:numPr>
    </w:pPr>
  </w:style>
  <w:style w:type="character" w:styleId="CommentReference">
    <w:name w:val="annotation reference"/>
    <w:semiHidden/>
    <w:rsid w:val="00F60BF8"/>
    <w:rPr>
      <w:sz w:val="16"/>
      <w:szCs w:val="16"/>
    </w:rPr>
  </w:style>
  <w:style w:type="paragraph" w:styleId="CommentText">
    <w:name w:val="annotation text"/>
    <w:basedOn w:val="Normal"/>
    <w:semiHidden/>
    <w:rsid w:val="00F60BF8"/>
  </w:style>
  <w:style w:type="character" w:styleId="EndnoteReference">
    <w:name w:val="endnote reference"/>
    <w:semiHidden/>
    <w:rsid w:val="00F60BF8"/>
    <w:rPr>
      <w:vertAlign w:val="superscript"/>
    </w:rPr>
  </w:style>
  <w:style w:type="paragraph" w:styleId="EndnoteText">
    <w:name w:val="endnote text"/>
    <w:basedOn w:val="Normal"/>
    <w:semiHidden/>
    <w:rsid w:val="00F60BF8"/>
    <w:pPr>
      <w:spacing w:line="288" w:lineRule="auto"/>
      <w:ind w:left="720" w:hanging="720"/>
    </w:pPr>
    <w:rPr>
      <w:sz w:val="16"/>
    </w:rPr>
  </w:style>
  <w:style w:type="paragraph" w:styleId="EnvelopeAddress">
    <w:name w:val="envelope address"/>
    <w:basedOn w:val="Normal"/>
    <w:rsid w:val="00F60BF8"/>
    <w:pPr>
      <w:framePr w:w="7920" w:hSpace="187" w:vSpace="187" w:wrap="around" w:vAnchor="page" w:hAnchor="page" w:x="4753" w:y="2161"/>
      <w:spacing w:line="288" w:lineRule="auto"/>
      <w:ind w:left="288"/>
    </w:pPr>
  </w:style>
  <w:style w:type="paragraph" w:styleId="EnvelopeReturn">
    <w:name w:val="envelope return"/>
    <w:basedOn w:val="Normal"/>
    <w:rsid w:val="00F60BF8"/>
    <w:pPr>
      <w:spacing w:line="288" w:lineRule="auto"/>
    </w:pPr>
    <w:rPr>
      <w:sz w:val="16"/>
    </w:rPr>
  </w:style>
  <w:style w:type="paragraph" w:customStyle="1" w:styleId="FileName">
    <w:name w:val="FileName"/>
    <w:basedOn w:val="Normal"/>
    <w:rsid w:val="00F60BF8"/>
    <w:pPr>
      <w:tabs>
        <w:tab w:val="center" w:pos="4508"/>
      </w:tabs>
      <w:spacing w:before="120" w:after="240" w:line="288" w:lineRule="auto"/>
    </w:pPr>
    <w:rPr>
      <w:snapToGrid w:val="0"/>
      <w:sz w:val="12"/>
    </w:rPr>
  </w:style>
  <w:style w:type="paragraph" w:customStyle="1" w:styleId="FlushRightTab">
    <w:name w:val="Flush Right Tab"/>
    <w:basedOn w:val="Body"/>
    <w:next w:val="Body"/>
    <w:rsid w:val="00F60BF8"/>
    <w:pPr>
      <w:tabs>
        <w:tab w:val="right" w:pos="9000"/>
      </w:tabs>
    </w:pPr>
  </w:style>
  <w:style w:type="paragraph" w:styleId="Footer">
    <w:name w:val="footer"/>
    <w:basedOn w:val="Normal"/>
    <w:link w:val="FooterChar"/>
    <w:uiPriority w:val="99"/>
    <w:rsid w:val="00F60BF8"/>
    <w:pPr>
      <w:tabs>
        <w:tab w:val="center" w:pos="4507"/>
        <w:tab w:val="right" w:pos="9000"/>
      </w:tabs>
      <w:spacing w:line="288" w:lineRule="auto"/>
    </w:pPr>
  </w:style>
  <w:style w:type="character" w:styleId="FootnoteReference">
    <w:name w:val="footnote reference"/>
    <w:semiHidden/>
    <w:rsid w:val="00F60BF8"/>
    <w:rPr>
      <w:vertAlign w:val="superscript"/>
    </w:rPr>
  </w:style>
  <w:style w:type="paragraph" w:styleId="FootnoteText">
    <w:name w:val="footnote text"/>
    <w:basedOn w:val="Normal"/>
    <w:semiHidden/>
    <w:rsid w:val="00F60BF8"/>
    <w:pPr>
      <w:spacing w:line="288" w:lineRule="auto"/>
      <w:ind w:left="720" w:hanging="720"/>
    </w:pPr>
    <w:rPr>
      <w:sz w:val="16"/>
    </w:rPr>
  </w:style>
  <w:style w:type="paragraph" w:customStyle="1" w:styleId="HdrFtrTabs">
    <w:name w:val="Hdr/Ftr Tabs"/>
    <w:basedOn w:val="Normal"/>
    <w:next w:val="Body"/>
    <w:rsid w:val="00F60BF8"/>
    <w:pPr>
      <w:tabs>
        <w:tab w:val="center" w:pos="4507"/>
        <w:tab w:val="right" w:pos="9000"/>
      </w:tabs>
      <w:spacing w:line="288" w:lineRule="auto"/>
    </w:pPr>
  </w:style>
  <w:style w:type="paragraph" w:styleId="Header">
    <w:name w:val="header"/>
    <w:aliases w:val="BT_Header"/>
    <w:basedOn w:val="Normal"/>
    <w:link w:val="HeaderChar"/>
    <w:rsid w:val="00F60BF8"/>
    <w:pPr>
      <w:tabs>
        <w:tab w:val="right" w:pos="8998"/>
      </w:tabs>
      <w:spacing w:line="288" w:lineRule="auto"/>
    </w:pPr>
  </w:style>
  <w:style w:type="paragraph" w:customStyle="1" w:styleId="NormalHangingLevel1">
    <w:name w:val="Normal Hanging Level1"/>
    <w:basedOn w:val="Normal"/>
    <w:rsid w:val="00F60BF8"/>
    <w:pPr>
      <w:ind w:left="720" w:hanging="720"/>
    </w:pPr>
  </w:style>
  <w:style w:type="paragraph" w:customStyle="1" w:styleId="NormalHangingLevel2">
    <w:name w:val="Normal Hanging Level2"/>
    <w:basedOn w:val="Normal"/>
    <w:rsid w:val="00F60BF8"/>
    <w:pPr>
      <w:spacing w:line="288" w:lineRule="auto"/>
      <w:ind w:left="1440" w:hanging="1440"/>
    </w:pPr>
  </w:style>
  <w:style w:type="paragraph" w:styleId="NormalIndent">
    <w:name w:val="Normal Indent"/>
    <w:basedOn w:val="Normal"/>
    <w:rsid w:val="00F60BF8"/>
    <w:pPr>
      <w:ind w:left="720"/>
    </w:pPr>
  </w:style>
  <w:style w:type="paragraph" w:customStyle="1" w:styleId="NoteLevel1">
    <w:name w:val="Note/Level1"/>
    <w:basedOn w:val="Body"/>
    <w:rsid w:val="00F165F2"/>
    <w:pPr>
      <w:numPr>
        <w:numId w:val="10"/>
      </w:numPr>
    </w:pPr>
  </w:style>
  <w:style w:type="paragraph" w:customStyle="1" w:styleId="NoteLevel2">
    <w:name w:val="Note/Level2"/>
    <w:basedOn w:val="Body"/>
    <w:rsid w:val="00F165F2"/>
    <w:pPr>
      <w:numPr>
        <w:ilvl w:val="1"/>
        <w:numId w:val="10"/>
      </w:numPr>
    </w:pPr>
  </w:style>
  <w:style w:type="paragraph" w:customStyle="1" w:styleId="NoteLevel3">
    <w:name w:val="Note/Level3"/>
    <w:basedOn w:val="Body"/>
    <w:rsid w:val="00F165F2"/>
    <w:pPr>
      <w:numPr>
        <w:ilvl w:val="2"/>
        <w:numId w:val="10"/>
      </w:numPr>
    </w:pPr>
  </w:style>
  <w:style w:type="paragraph" w:customStyle="1" w:styleId="NoteLevel4">
    <w:name w:val="Note/Level4"/>
    <w:basedOn w:val="Body"/>
    <w:rsid w:val="00F165F2"/>
    <w:pPr>
      <w:numPr>
        <w:ilvl w:val="3"/>
        <w:numId w:val="10"/>
      </w:numPr>
    </w:pPr>
  </w:style>
  <w:style w:type="paragraph" w:customStyle="1" w:styleId="NoteLevel5">
    <w:name w:val="Note/Level5"/>
    <w:basedOn w:val="Body"/>
    <w:rsid w:val="00F165F2"/>
    <w:pPr>
      <w:numPr>
        <w:ilvl w:val="4"/>
        <w:numId w:val="10"/>
      </w:numPr>
    </w:pPr>
  </w:style>
  <w:style w:type="paragraph" w:customStyle="1" w:styleId="NoteLevel6">
    <w:name w:val="Note/Level6"/>
    <w:basedOn w:val="Body"/>
    <w:rsid w:val="00F165F2"/>
    <w:pPr>
      <w:numPr>
        <w:ilvl w:val="5"/>
        <w:numId w:val="10"/>
      </w:numPr>
    </w:pPr>
  </w:style>
  <w:style w:type="paragraph" w:customStyle="1" w:styleId="NoteLevel7">
    <w:name w:val="Note/Level7"/>
    <w:basedOn w:val="Body"/>
    <w:rsid w:val="00F165F2"/>
    <w:pPr>
      <w:numPr>
        <w:ilvl w:val="6"/>
        <w:numId w:val="10"/>
      </w:numPr>
    </w:pPr>
  </w:style>
  <w:style w:type="paragraph" w:customStyle="1" w:styleId="NoteLevel8">
    <w:name w:val="Note/Level8"/>
    <w:basedOn w:val="Body"/>
    <w:rsid w:val="00F165F2"/>
    <w:pPr>
      <w:numPr>
        <w:ilvl w:val="7"/>
        <w:numId w:val="10"/>
      </w:numPr>
    </w:pPr>
  </w:style>
  <w:style w:type="character" w:styleId="PageNumber">
    <w:name w:val="page number"/>
    <w:rsid w:val="00F60BF8"/>
    <w:rPr>
      <w:rFonts w:ascii="Arial" w:hAnsi="Arial"/>
      <w:sz w:val="20"/>
    </w:rPr>
  </w:style>
  <w:style w:type="paragraph" w:customStyle="1" w:styleId="PgNumber">
    <w:name w:val="PgNumber"/>
    <w:basedOn w:val="Normal"/>
    <w:next w:val="Normal"/>
    <w:rsid w:val="00F60BF8"/>
    <w:pPr>
      <w:spacing w:before="120" w:after="120" w:line="288" w:lineRule="auto"/>
      <w:jc w:val="center"/>
    </w:pPr>
  </w:style>
  <w:style w:type="paragraph" w:styleId="TOC1">
    <w:name w:val="toc 1"/>
    <w:basedOn w:val="Normal"/>
    <w:next w:val="Normal"/>
    <w:semiHidden/>
    <w:rsid w:val="00F60BF8"/>
    <w:pPr>
      <w:tabs>
        <w:tab w:val="left" w:pos="720"/>
        <w:tab w:val="right" w:leader="dot" w:pos="9000"/>
      </w:tabs>
      <w:ind w:left="720" w:right="360" w:hanging="720"/>
    </w:pPr>
  </w:style>
  <w:style w:type="paragraph" w:styleId="TOC2">
    <w:name w:val="toc 2"/>
    <w:basedOn w:val="Normal"/>
    <w:next w:val="Normal"/>
    <w:semiHidden/>
    <w:rsid w:val="00F60BF8"/>
    <w:pPr>
      <w:tabs>
        <w:tab w:val="left" w:pos="720"/>
        <w:tab w:val="left" w:pos="1440"/>
        <w:tab w:val="right" w:leader="dot" w:pos="9000"/>
      </w:tabs>
      <w:ind w:left="1440" w:right="360" w:hanging="720"/>
    </w:pPr>
  </w:style>
  <w:style w:type="paragraph" w:styleId="TOC3">
    <w:name w:val="toc 3"/>
    <w:basedOn w:val="Normal"/>
    <w:next w:val="Normal"/>
    <w:semiHidden/>
    <w:rsid w:val="00F60BF8"/>
    <w:pPr>
      <w:tabs>
        <w:tab w:val="left" w:pos="1440"/>
        <w:tab w:val="left" w:pos="2160"/>
        <w:tab w:val="right" w:leader="dot" w:pos="9000"/>
      </w:tabs>
      <w:ind w:left="2160" w:right="360" w:hanging="720"/>
    </w:pPr>
  </w:style>
  <w:style w:type="paragraph" w:styleId="TOC4">
    <w:name w:val="toc 4"/>
    <w:basedOn w:val="Normal"/>
    <w:next w:val="Normal"/>
    <w:semiHidden/>
    <w:rsid w:val="00F60BF8"/>
    <w:pPr>
      <w:tabs>
        <w:tab w:val="left" w:pos="720"/>
        <w:tab w:val="left" w:pos="2160"/>
        <w:tab w:val="right" w:leader="dot" w:pos="9000"/>
      </w:tabs>
      <w:ind w:left="2880" w:right="360" w:hanging="720"/>
    </w:pPr>
  </w:style>
  <w:style w:type="paragraph" w:styleId="TOC5">
    <w:name w:val="toc 5"/>
    <w:basedOn w:val="Normal"/>
    <w:next w:val="Normal"/>
    <w:semiHidden/>
    <w:rsid w:val="00F165F2"/>
    <w:pPr>
      <w:numPr>
        <w:numId w:val="18"/>
      </w:numPr>
      <w:tabs>
        <w:tab w:val="right" w:pos="2880"/>
        <w:tab w:val="right" w:leader="dot" w:pos="9000"/>
      </w:tabs>
      <w:ind w:right="360"/>
    </w:pPr>
  </w:style>
  <w:style w:type="paragraph" w:styleId="TOC6">
    <w:name w:val="toc 6"/>
    <w:basedOn w:val="Normal"/>
    <w:next w:val="Normal"/>
    <w:semiHidden/>
    <w:rsid w:val="00F60BF8"/>
    <w:pPr>
      <w:tabs>
        <w:tab w:val="left" w:pos="720"/>
        <w:tab w:val="right" w:leader="dot" w:pos="9000"/>
      </w:tabs>
      <w:ind w:left="720" w:right="360"/>
    </w:pPr>
  </w:style>
  <w:style w:type="paragraph" w:styleId="TOC7">
    <w:name w:val="toc 7"/>
    <w:basedOn w:val="Normal"/>
    <w:next w:val="Normal"/>
    <w:semiHidden/>
    <w:rsid w:val="00F60BF8"/>
    <w:pPr>
      <w:tabs>
        <w:tab w:val="left" w:pos="720"/>
        <w:tab w:val="right" w:leader="dot" w:pos="9000"/>
      </w:tabs>
      <w:spacing w:before="240" w:after="240"/>
      <w:ind w:right="360"/>
    </w:pPr>
  </w:style>
  <w:style w:type="paragraph" w:styleId="TOC8">
    <w:name w:val="toc 8"/>
    <w:basedOn w:val="Normal"/>
    <w:next w:val="Normal"/>
    <w:semiHidden/>
    <w:rsid w:val="00F165F2"/>
    <w:pPr>
      <w:numPr>
        <w:numId w:val="19"/>
      </w:numPr>
      <w:tabs>
        <w:tab w:val="right" w:leader="dot" w:pos="9000"/>
      </w:tabs>
      <w:ind w:right="360"/>
    </w:pPr>
  </w:style>
  <w:style w:type="paragraph" w:styleId="TOC9">
    <w:name w:val="toc 9"/>
    <w:basedOn w:val="Normal"/>
    <w:next w:val="Normal"/>
    <w:semiHidden/>
    <w:rsid w:val="00F60BF8"/>
    <w:pPr>
      <w:numPr>
        <w:numId w:val="20"/>
      </w:numPr>
      <w:tabs>
        <w:tab w:val="right" w:leader="dot" w:pos="9000"/>
      </w:tabs>
      <w:ind w:right="360"/>
    </w:pPr>
  </w:style>
  <w:style w:type="paragraph" w:styleId="ListNumber">
    <w:name w:val="List Number"/>
    <w:basedOn w:val="Normal"/>
    <w:rsid w:val="00F165F2"/>
    <w:pPr>
      <w:numPr>
        <w:numId w:val="26"/>
      </w:numPr>
    </w:pPr>
  </w:style>
  <w:style w:type="paragraph" w:styleId="ListNumber2">
    <w:name w:val="List Number 2"/>
    <w:basedOn w:val="Normal"/>
    <w:rsid w:val="00F165F2"/>
    <w:pPr>
      <w:numPr>
        <w:numId w:val="27"/>
      </w:numPr>
    </w:pPr>
  </w:style>
  <w:style w:type="paragraph" w:styleId="ListNumber3">
    <w:name w:val="List Number 3"/>
    <w:basedOn w:val="Normal"/>
    <w:rsid w:val="00F165F2"/>
    <w:pPr>
      <w:numPr>
        <w:numId w:val="28"/>
      </w:numPr>
    </w:pPr>
  </w:style>
  <w:style w:type="paragraph" w:styleId="ListNumber4">
    <w:name w:val="List Number 4"/>
    <w:basedOn w:val="Normal"/>
    <w:rsid w:val="00F165F2"/>
    <w:pPr>
      <w:numPr>
        <w:numId w:val="29"/>
      </w:numPr>
    </w:pPr>
  </w:style>
  <w:style w:type="paragraph" w:styleId="ListNumber5">
    <w:name w:val="List Number 5"/>
    <w:basedOn w:val="Normal"/>
    <w:rsid w:val="00F165F2"/>
    <w:pPr>
      <w:numPr>
        <w:numId w:val="30"/>
      </w:numPr>
    </w:pPr>
  </w:style>
  <w:style w:type="numbering" w:styleId="111111">
    <w:name w:val="Outline List 2"/>
    <w:basedOn w:val="NoList"/>
    <w:rsid w:val="00F165F2"/>
    <w:pPr>
      <w:numPr>
        <w:numId w:val="31"/>
      </w:numPr>
    </w:pPr>
  </w:style>
  <w:style w:type="paragraph" w:styleId="Index1">
    <w:name w:val="index 1"/>
    <w:basedOn w:val="Normal"/>
    <w:next w:val="Normal"/>
    <w:rsid w:val="009D1134"/>
    <w:pPr>
      <w:tabs>
        <w:tab w:val="right" w:leader="dot" w:pos="9360"/>
      </w:tabs>
      <w:suppressAutoHyphens/>
      <w:spacing w:line="240" w:lineRule="atLeast"/>
      <w:ind w:left="720" w:hanging="720"/>
    </w:pPr>
    <w:rPr>
      <w:lang w:val="en-US"/>
    </w:rPr>
  </w:style>
  <w:style w:type="paragraph" w:styleId="Index2">
    <w:name w:val="index 2"/>
    <w:basedOn w:val="Normal"/>
    <w:next w:val="Normal"/>
    <w:rsid w:val="009D1134"/>
    <w:pPr>
      <w:tabs>
        <w:tab w:val="right" w:leader="dot" w:pos="9360"/>
      </w:tabs>
      <w:suppressAutoHyphens/>
      <w:spacing w:line="240" w:lineRule="atLeast"/>
      <w:ind w:left="720"/>
    </w:pPr>
    <w:rPr>
      <w:lang w:val="en-US"/>
    </w:rPr>
  </w:style>
  <w:style w:type="paragraph" w:styleId="TOAHeading">
    <w:name w:val="toa heading"/>
    <w:basedOn w:val="Normal"/>
    <w:next w:val="Normal"/>
    <w:rsid w:val="009D1134"/>
    <w:pPr>
      <w:tabs>
        <w:tab w:val="right" w:pos="9360"/>
      </w:tabs>
      <w:suppressAutoHyphens/>
      <w:spacing w:line="240" w:lineRule="atLeast"/>
    </w:pPr>
    <w:rPr>
      <w:lang w:val="en-US"/>
    </w:rPr>
  </w:style>
  <w:style w:type="paragraph" w:styleId="Caption">
    <w:name w:val="caption"/>
    <w:basedOn w:val="Normal"/>
    <w:next w:val="Normal"/>
    <w:qFormat/>
    <w:rsid w:val="009D1134"/>
    <w:rPr>
      <w:sz w:val="24"/>
      <w:szCs w:val="24"/>
    </w:rPr>
  </w:style>
  <w:style w:type="character" w:customStyle="1" w:styleId="EquationCaption">
    <w:name w:val="_Equation Caption"/>
    <w:rsid w:val="009D1134"/>
  </w:style>
  <w:style w:type="character" w:customStyle="1" w:styleId="Heading1Char">
    <w:name w:val="Heading 1 Char"/>
    <w:link w:val="Heading1"/>
    <w:rsid w:val="009356D9"/>
    <w:rPr>
      <w:sz w:val="36"/>
      <w:szCs w:val="24"/>
      <w:lang w:eastAsia="en-US"/>
    </w:rPr>
  </w:style>
  <w:style w:type="paragraph" w:styleId="BodyText">
    <w:name w:val="Body Text"/>
    <w:basedOn w:val="Normal"/>
    <w:link w:val="BodyTextChar"/>
    <w:rsid w:val="009356D9"/>
    <w:pPr>
      <w:widowControl/>
      <w:autoSpaceDE/>
      <w:autoSpaceDN/>
      <w:adjustRightInd/>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dyTextChar">
    <w:name w:val="Body Text Char"/>
    <w:link w:val="BodyText"/>
    <w:rsid w:val="009356D9"/>
    <w:rPr>
      <w:rFonts w:ascii="Arial Unicode MS" w:eastAsia="Arial Unicode MS" w:hAnsi="Arial Unicode MS" w:cs="Arial Unicode MS"/>
      <w:sz w:val="24"/>
      <w:szCs w:val="24"/>
      <w:lang w:eastAsia="en-US"/>
    </w:rPr>
  </w:style>
  <w:style w:type="character" w:customStyle="1" w:styleId="HeaderChar">
    <w:name w:val="Header Char"/>
    <w:aliases w:val="BT_Header Char"/>
    <w:link w:val="Header"/>
    <w:rsid w:val="009356D9"/>
    <w:rPr>
      <w:szCs w:val="22"/>
    </w:rPr>
  </w:style>
  <w:style w:type="character" w:customStyle="1" w:styleId="BodyChar">
    <w:name w:val="Body Char"/>
    <w:link w:val="Body"/>
    <w:rsid w:val="00850D60"/>
    <w:rPr>
      <w:szCs w:val="22"/>
    </w:rPr>
  </w:style>
  <w:style w:type="paragraph" w:styleId="BalloonText">
    <w:name w:val="Balloon Text"/>
    <w:basedOn w:val="Normal"/>
    <w:link w:val="BalloonTextChar"/>
    <w:rsid w:val="001C7A64"/>
    <w:rPr>
      <w:rFonts w:ascii="Tahoma" w:hAnsi="Tahoma" w:cs="Tahoma"/>
      <w:sz w:val="16"/>
      <w:szCs w:val="16"/>
    </w:rPr>
  </w:style>
  <w:style w:type="character" w:customStyle="1" w:styleId="BalloonTextChar">
    <w:name w:val="Balloon Text Char"/>
    <w:link w:val="BalloonText"/>
    <w:rsid w:val="001C7A64"/>
    <w:rPr>
      <w:rFonts w:ascii="Tahoma" w:hAnsi="Tahoma" w:cs="Tahoma"/>
      <w:sz w:val="16"/>
      <w:szCs w:val="16"/>
    </w:rPr>
  </w:style>
  <w:style w:type="paragraph" w:customStyle="1" w:styleId="ColorfulList-Accent11">
    <w:name w:val="Colorful List - Accent 11"/>
    <w:basedOn w:val="Normal"/>
    <w:uiPriority w:val="34"/>
    <w:qFormat/>
    <w:rsid w:val="00B941B3"/>
    <w:pPr>
      <w:widowControl/>
      <w:autoSpaceDE/>
      <w:autoSpaceDN/>
      <w:adjustRightInd/>
      <w:ind w:left="720"/>
      <w:contextualSpacing/>
    </w:pPr>
    <w:rPr>
      <w:rFonts w:ascii="Calibri" w:eastAsia="Calibri" w:hAnsi="Calibri"/>
      <w:sz w:val="24"/>
      <w:szCs w:val="24"/>
      <w:lang w:eastAsia="en-US"/>
    </w:rPr>
  </w:style>
  <w:style w:type="table" w:customStyle="1" w:styleId="DarkList1">
    <w:name w:val="Dark List1"/>
    <w:basedOn w:val="TableNormal"/>
    <w:uiPriority w:val="61"/>
    <w:rsid w:val="00B941B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C96DA0"/>
    <w:rPr>
      <w:szCs w:val="22"/>
    </w:rPr>
  </w:style>
  <w:style w:type="paragraph" w:customStyle="1" w:styleId="MediumGrid21">
    <w:name w:val="Medium Grid 21"/>
    <w:uiPriority w:val="1"/>
    <w:qFormat/>
    <w:rsid w:val="00747F7E"/>
    <w:pPr>
      <w:widowControl w:val="0"/>
      <w:autoSpaceDE w:val="0"/>
      <w:autoSpaceDN w:val="0"/>
      <w:adjustRightInd w:val="0"/>
    </w:pPr>
    <w:rPr>
      <w:szCs w:val="22"/>
    </w:rPr>
  </w:style>
  <w:style w:type="character" w:styleId="Hyperlink">
    <w:name w:val="Hyperlink"/>
    <w:uiPriority w:val="99"/>
    <w:unhideWhenUsed/>
    <w:rsid w:val="003C137E"/>
    <w:rPr>
      <w:color w:val="0000FF"/>
      <w:u w:val="single"/>
    </w:rPr>
  </w:style>
  <w:style w:type="paragraph" w:styleId="NormalWeb">
    <w:name w:val="Normal (Web)"/>
    <w:basedOn w:val="Normal"/>
    <w:uiPriority w:val="99"/>
    <w:unhideWhenUsed/>
    <w:rsid w:val="003C137E"/>
    <w:pPr>
      <w:widowControl/>
      <w:autoSpaceDE/>
      <w:autoSpaceDN/>
      <w:adjustRightInd/>
      <w:spacing w:before="100" w:beforeAutospacing="1" w:after="100" w:afterAutospacing="1"/>
      <w:ind w:left="150"/>
    </w:pPr>
    <w:rPr>
      <w:rFonts w:ascii="Verdana" w:hAnsi="Verdana"/>
      <w:szCs w:val="20"/>
    </w:rPr>
  </w:style>
  <w:style w:type="paragraph" w:customStyle="1" w:styleId="indent10">
    <w:name w:val="indent10"/>
    <w:basedOn w:val="Normal"/>
    <w:rsid w:val="003C137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C09D5"/>
    <w:pPr>
      <w:widowControl/>
      <w:autoSpaceDE/>
      <w:autoSpaceDN/>
      <w:adjustRightInd/>
      <w:spacing w:after="200" w:line="276" w:lineRule="auto"/>
      <w:ind w:left="720"/>
      <w:contextualSpacing/>
    </w:pPr>
    <w:rPr>
      <w:rFonts w:asciiTheme="minorHAnsi" w:eastAsiaTheme="minorHAnsi" w:hAnsiTheme="minorHAnsi" w:cstheme="minorBidi"/>
      <w:sz w:val="22"/>
      <w:lang w:eastAsia="en-US"/>
    </w:rPr>
  </w:style>
  <w:style w:type="paragraph" w:customStyle="1" w:styleId="e">
    <w:name w:val="e"/>
    <w:basedOn w:val="Normal"/>
    <w:rsid w:val="000D0F7E"/>
    <w:pPr>
      <w:widowControl/>
      <w:autoSpaceDE/>
      <w:autoSpaceDN/>
      <w:adjustRightInd/>
      <w:spacing w:before="100" w:beforeAutospacing="1" w:after="100" w:afterAutospacing="1"/>
    </w:pPr>
    <w:rPr>
      <w:sz w:val="24"/>
      <w:szCs w:val="24"/>
    </w:rPr>
  </w:style>
  <w:style w:type="character" w:styleId="SubtleEmphasis">
    <w:name w:val="Subtle Emphasis"/>
    <w:basedOn w:val="DefaultParagraphFont"/>
    <w:uiPriority w:val="19"/>
    <w:qFormat/>
    <w:rsid w:val="00493245"/>
    <w:rPr>
      <w:i/>
      <w:iCs/>
      <w:color w:val="808080" w:themeColor="text1" w:themeTint="7F"/>
    </w:rPr>
  </w:style>
  <w:style w:type="paragraph" w:customStyle="1" w:styleId="xm">
    <w:name w:val="xm"/>
    <w:basedOn w:val="Normal"/>
    <w:rsid w:val="006529F6"/>
    <w:pPr>
      <w:widowControl/>
      <w:autoSpaceDE/>
      <w:autoSpaceDN/>
      <w:adjustRightInd/>
      <w:spacing w:before="100" w:beforeAutospacing="1" w:after="100" w:afterAutospacing="1"/>
    </w:pPr>
    <w:rPr>
      <w:sz w:val="24"/>
      <w:szCs w:val="24"/>
    </w:rPr>
  </w:style>
  <w:style w:type="character" w:customStyle="1" w:styleId="kf">
    <w:name w:val="kf"/>
    <w:basedOn w:val="DefaultParagraphFont"/>
    <w:rsid w:val="006529F6"/>
  </w:style>
  <w:style w:type="paragraph" w:customStyle="1" w:styleId="xl">
    <w:name w:val="xl"/>
    <w:basedOn w:val="Normal"/>
    <w:rsid w:val="006529F6"/>
    <w:pPr>
      <w:widowControl/>
      <w:autoSpaceDE/>
      <w:autoSpaceDN/>
      <w:adjustRightInd/>
      <w:spacing w:before="100" w:beforeAutospacing="1" w:after="100" w:afterAutospacing="1"/>
    </w:pPr>
    <w:rPr>
      <w:sz w:val="24"/>
      <w:szCs w:val="24"/>
    </w:rPr>
  </w:style>
  <w:style w:type="paragraph" w:customStyle="1" w:styleId="xn">
    <w:name w:val="xn"/>
    <w:basedOn w:val="Normal"/>
    <w:rsid w:val="006529F6"/>
    <w:pPr>
      <w:widowControl/>
      <w:autoSpaceDE/>
      <w:autoSpaceDN/>
      <w:adjustRightInd/>
      <w:spacing w:before="100" w:beforeAutospacing="1" w:after="100" w:afterAutospacing="1"/>
    </w:pPr>
    <w:rPr>
      <w:sz w:val="24"/>
      <w:szCs w:val="24"/>
    </w:rPr>
  </w:style>
  <w:style w:type="paragraph" w:customStyle="1" w:styleId="bci">
    <w:name w:val="bci"/>
    <w:basedOn w:val="Normal"/>
    <w:rsid w:val="00950CF8"/>
    <w:pPr>
      <w:widowControl/>
      <w:autoSpaceDE/>
      <w:autoSpaceDN/>
      <w:adjustRightInd/>
      <w:spacing w:before="100" w:beforeAutospacing="1" w:after="100" w:afterAutospacing="1"/>
    </w:pPr>
    <w:rPr>
      <w:sz w:val="24"/>
      <w:szCs w:val="24"/>
    </w:rPr>
  </w:style>
  <w:style w:type="character" w:customStyle="1" w:styleId="azb">
    <w:name w:val="azb"/>
    <w:basedOn w:val="DefaultParagraphFont"/>
    <w:rsid w:val="00950CF8"/>
  </w:style>
  <w:style w:type="character" w:customStyle="1" w:styleId="apple-converted-space">
    <w:name w:val="apple-converted-space"/>
    <w:basedOn w:val="DefaultParagraphFont"/>
    <w:rsid w:val="00950CF8"/>
  </w:style>
  <w:style w:type="character" w:customStyle="1" w:styleId="aab">
    <w:name w:val="aab"/>
    <w:basedOn w:val="DefaultParagraphFont"/>
    <w:rsid w:val="00950CF8"/>
  </w:style>
  <w:style w:type="character" w:customStyle="1" w:styleId="ii">
    <w:name w:val="ii"/>
    <w:basedOn w:val="DefaultParagraphFont"/>
    <w:rsid w:val="00051FC2"/>
  </w:style>
  <w:style w:type="character" w:customStyle="1" w:styleId="ef">
    <w:name w:val="ef"/>
    <w:basedOn w:val="DefaultParagraphFont"/>
    <w:rsid w:val="00051FC2"/>
  </w:style>
  <w:style w:type="character" w:customStyle="1" w:styleId="cg">
    <w:name w:val="cg"/>
    <w:basedOn w:val="DefaultParagraphFont"/>
    <w:rsid w:val="00051FC2"/>
  </w:style>
  <w:style w:type="paragraph" w:customStyle="1" w:styleId="bwcellpmargin">
    <w:name w:val="bwcellpmargin"/>
    <w:basedOn w:val="Normal"/>
    <w:rsid w:val="00D0357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106">
      <w:bodyDiv w:val="1"/>
      <w:marLeft w:val="0"/>
      <w:marRight w:val="0"/>
      <w:marTop w:val="0"/>
      <w:marBottom w:val="0"/>
      <w:divBdr>
        <w:top w:val="none" w:sz="0" w:space="0" w:color="auto"/>
        <w:left w:val="none" w:sz="0" w:space="0" w:color="auto"/>
        <w:bottom w:val="none" w:sz="0" w:space="0" w:color="auto"/>
        <w:right w:val="none" w:sz="0" w:space="0" w:color="auto"/>
      </w:divBdr>
    </w:div>
    <w:div w:id="76446767">
      <w:bodyDiv w:val="1"/>
      <w:marLeft w:val="0"/>
      <w:marRight w:val="0"/>
      <w:marTop w:val="0"/>
      <w:marBottom w:val="0"/>
      <w:divBdr>
        <w:top w:val="none" w:sz="0" w:space="0" w:color="auto"/>
        <w:left w:val="none" w:sz="0" w:space="0" w:color="auto"/>
        <w:bottom w:val="none" w:sz="0" w:space="0" w:color="auto"/>
        <w:right w:val="none" w:sz="0" w:space="0" w:color="auto"/>
      </w:divBdr>
    </w:div>
    <w:div w:id="369958618">
      <w:bodyDiv w:val="1"/>
      <w:marLeft w:val="0"/>
      <w:marRight w:val="0"/>
      <w:marTop w:val="0"/>
      <w:marBottom w:val="0"/>
      <w:divBdr>
        <w:top w:val="none" w:sz="0" w:space="0" w:color="auto"/>
        <w:left w:val="none" w:sz="0" w:space="0" w:color="auto"/>
        <w:bottom w:val="none" w:sz="0" w:space="0" w:color="auto"/>
        <w:right w:val="none" w:sz="0" w:space="0" w:color="auto"/>
      </w:divBdr>
    </w:div>
    <w:div w:id="527061574">
      <w:bodyDiv w:val="1"/>
      <w:marLeft w:val="0"/>
      <w:marRight w:val="0"/>
      <w:marTop w:val="0"/>
      <w:marBottom w:val="0"/>
      <w:divBdr>
        <w:top w:val="none" w:sz="0" w:space="0" w:color="auto"/>
        <w:left w:val="none" w:sz="0" w:space="0" w:color="auto"/>
        <w:bottom w:val="none" w:sz="0" w:space="0" w:color="auto"/>
        <w:right w:val="none" w:sz="0" w:space="0" w:color="auto"/>
      </w:divBdr>
    </w:div>
    <w:div w:id="534580608">
      <w:bodyDiv w:val="1"/>
      <w:marLeft w:val="0"/>
      <w:marRight w:val="0"/>
      <w:marTop w:val="0"/>
      <w:marBottom w:val="0"/>
      <w:divBdr>
        <w:top w:val="none" w:sz="0" w:space="0" w:color="auto"/>
        <w:left w:val="none" w:sz="0" w:space="0" w:color="auto"/>
        <w:bottom w:val="none" w:sz="0" w:space="0" w:color="auto"/>
        <w:right w:val="none" w:sz="0" w:space="0" w:color="auto"/>
      </w:divBdr>
    </w:div>
    <w:div w:id="629743452">
      <w:bodyDiv w:val="1"/>
      <w:marLeft w:val="0"/>
      <w:marRight w:val="0"/>
      <w:marTop w:val="0"/>
      <w:marBottom w:val="0"/>
      <w:divBdr>
        <w:top w:val="none" w:sz="0" w:space="0" w:color="auto"/>
        <w:left w:val="none" w:sz="0" w:space="0" w:color="auto"/>
        <w:bottom w:val="none" w:sz="0" w:space="0" w:color="auto"/>
        <w:right w:val="none" w:sz="0" w:space="0" w:color="auto"/>
      </w:divBdr>
    </w:div>
    <w:div w:id="637952757">
      <w:bodyDiv w:val="1"/>
      <w:marLeft w:val="0"/>
      <w:marRight w:val="0"/>
      <w:marTop w:val="0"/>
      <w:marBottom w:val="0"/>
      <w:divBdr>
        <w:top w:val="none" w:sz="0" w:space="0" w:color="auto"/>
        <w:left w:val="none" w:sz="0" w:space="0" w:color="auto"/>
        <w:bottom w:val="none" w:sz="0" w:space="0" w:color="auto"/>
        <w:right w:val="none" w:sz="0" w:space="0" w:color="auto"/>
      </w:divBdr>
      <w:divsChild>
        <w:div w:id="758913951">
          <w:marLeft w:val="0"/>
          <w:marRight w:val="0"/>
          <w:marTop w:val="0"/>
          <w:marBottom w:val="0"/>
          <w:divBdr>
            <w:top w:val="none" w:sz="0" w:space="0" w:color="auto"/>
            <w:left w:val="none" w:sz="0" w:space="0" w:color="auto"/>
            <w:bottom w:val="none" w:sz="0" w:space="0" w:color="auto"/>
            <w:right w:val="none" w:sz="0" w:space="0" w:color="auto"/>
          </w:divBdr>
          <w:divsChild>
            <w:div w:id="1669138050">
              <w:marLeft w:val="0"/>
              <w:marRight w:val="0"/>
              <w:marTop w:val="0"/>
              <w:marBottom w:val="0"/>
              <w:divBdr>
                <w:top w:val="none" w:sz="0" w:space="0" w:color="auto"/>
                <w:left w:val="none" w:sz="0" w:space="0" w:color="auto"/>
                <w:bottom w:val="none" w:sz="0" w:space="0" w:color="auto"/>
                <w:right w:val="none" w:sz="0" w:space="0" w:color="auto"/>
              </w:divBdr>
              <w:divsChild>
                <w:div w:id="1036395829">
                  <w:marLeft w:val="0"/>
                  <w:marRight w:val="0"/>
                  <w:marTop w:val="0"/>
                  <w:marBottom w:val="0"/>
                  <w:divBdr>
                    <w:top w:val="none" w:sz="0" w:space="0" w:color="auto"/>
                    <w:left w:val="none" w:sz="0" w:space="0" w:color="auto"/>
                    <w:bottom w:val="none" w:sz="0" w:space="0" w:color="auto"/>
                    <w:right w:val="none" w:sz="0" w:space="0" w:color="auto"/>
                  </w:divBdr>
                  <w:divsChild>
                    <w:div w:id="717318043">
                      <w:marLeft w:val="0"/>
                      <w:marRight w:val="0"/>
                      <w:marTop w:val="0"/>
                      <w:marBottom w:val="0"/>
                      <w:divBdr>
                        <w:top w:val="none" w:sz="0" w:space="0" w:color="auto"/>
                        <w:left w:val="none" w:sz="0" w:space="0" w:color="auto"/>
                        <w:bottom w:val="none" w:sz="0" w:space="0" w:color="auto"/>
                        <w:right w:val="none" w:sz="0" w:space="0" w:color="auto"/>
                      </w:divBdr>
                      <w:divsChild>
                        <w:div w:id="237634027">
                          <w:marLeft w:val="0"/>
                          <w:marRight w:val="0"/>
                          <w:marTop w:val="15"/>
                          <w:marBottom w:val="0"/>
                          <w:divBdr>
                            <w:top w:val="none" w:sz="0" w:space="0" w:color="auto"/>
                            <w:left w:val="none" w:sz="0" w:space="0" w:color="auto"/>
                            <w:bottom w:val="none" w:sz="0" w:space="0" w:color="auto"/>
                            <w:right w:val="none" w:sz="0" w:space="0" w:color="auto"/>
                          </w:divBdr>
                          <w:divsChild>
                            <w:div w:id="1428037601">
                              <w:marLeft w:val="0"/>
                              <w:marRight w:val="0"/>
                              <w:marTop w:val="0"/>
                              <w:marBottom w:val="0"/>
                              <w:divBdr>
                                <w:top w:val="none" w:sz="0" w:space="0" w:color="auto"/>
                                <w:left w:val="none" w:sz="0" w:space="0" w:color="auto"/>
                                <w:bottom w:val="none" w:sz="0" w:space="0" w:color="auto"/>
                                <w:right w:val="none" w:sz="0" w:space="0" w:color="auto"/>
                              </w:divBdr>
                              <w:divsChild>
                                <w:div w:id="8262360">
                                  <w:marLeft w:val="0"/>
                                  <w:marRight w:val="0"/>
                                  <w:marTop w:val="0"/>
                                  <w:marBottom w:val="0"/>
                                  <w:divBdr>
                                    <w:top w:val="none" w:sz="0" w:space="0" w:color="auto"/>
                                    <w:left w:val="none" w:sz="0" w:space="0" w:color="auto"/>
                                    <w:bottom w:val="none" w:sz="0" w:space="0" w:color="auto"/>
                                    <w:right w:val="none" w:sz="0" w:space="0" w:color="auto"/>
                                  </w:divBdr>
                                </w:div>
                                <w:div w:id="283077219">
                                  <w:marLeft w:val="0"/>
                                  <w:marRight w:val="0"/>
                                  <w:marTop w:val="0"/>
                                  <w:marBottom w:val="0"/>
                                  <w:divBdr>
                                    <w:top w:val="none" w:sz="0" w:space="0" w:color="auto"/>
                                    <w:left w:val="none" w:sz="0" w:space="0" w:color="auto"/>
                                    <w:bottom w:val="none" w:sz="0" w:space="0" w:color="auto"/>
                                    <w:right w:val="none" w:sz="0" w:space="0" w:color="auto"/>
                                  </w:divBdr>
                                </w:div>
                                <w:div w:id="301235636">
                                  <w:marLeft w:val="0"/>
                                  <w:marRight w:val="0"/>
                                  <w:marTop w:val="0"/>
                                  <w:marBottom w:val="0"/>
                                  <w:divBdr>
                                    <w:top w:val="none" w:sz="0" w:space="0" w:color="auto"/>
                                    <w:left w:val="none" w:sz="0" w:space="0" w:color="auto"/>
                                    <w:bottom w:val="none" w:sz="0" w:space="0" w:color="auto"/>
                                    <w:right w:val="none" w:sz="0" w:space="0" w:color="auto"/>
                                  </w:divBdr>
                                </w:div>
                                <w:div w:id="439035530">
                                  <w:marLeft w:val="0"/>
                                  <w:marRight w:val="0"/>
                                  <w:marTop w:val="0"/>
                                  <w:marBottom w:val="0"/>
                                  <w:divBdr>
                                    <w:top w:val="none" w:sz="0" w:space="0" w:color="auto"/>
                                    <w:left w:val="none" w:sz="0" w:space="0" w:color="auto"/>
                                    <w:bottom w:val="none" w:sz="0" w:space="0" w:color="auto"/>
                                    <w:right w:val="none" w:sz="0" w:space="0" w:color="auto"/>
                                  </w:divBdr>
                                </w:div>
                                <w:div w:id="475341396">
                                  <w:marLeft w:val="0"/>
                                  <w:marRight w:val="0"/>
                                  <w:marTop w:val="0"/>
                                  <w:marBottom w:val="0"/>
                                  <w:divBdr>
                                    <w:top w:val="none" w:sz="0" w:space="0" w:color="auto"/>
                                    <w:left w:val="none" w:sz="0" w:space="0" w:color="auto"/>
                                    <w:bottom w:val="none" w:sz="0" w:space="0" w:color="auto"/>
                                    <w:right w:val="none" w:sz="0" w:space="0" w:color="auto"/>
                                  </w:divBdr>
                                </w:div>
                                <w:div w:id="630864325">
                                  <w:marLeft w:val="0"/>
                                  <w:marRight w:val="0"/>
                                  <w:marTop w:val="0"/>
                                  <w:marBottom w:val="0"/>
                                  <w:divBdr>
                                    <w:top w:val="none" w:sz="0" w:space="0" w:color="auto"/>
                                    <w:left w:val="none" w:sz="0" w:space="0" w:color="auto"/>
                                    <w:bottom w:val="none" w:sz="0" w:space="0" w:color="auto"/>
                                    <w:right w:val="none" w:sz="0" w:space="0" w:color="auto"/>
                                  </w:divBdr>
                                </w:div>
                                <w:div w:id="648637144">
                                  <w:marLeft w:val="0"/>
                                  <w:marRight w:val="0"/>
                                  <w:marTop w:val="0"/>
                                  <w:marBottom w:val="0"/>
                                  <w:divBdr>
                                    <w:top w:val="none" w:sz="0" w:space="0" w:color="auto"/>
                                    <w:left w:val="none" w:sz="0" w:space="0" w:color="auto"/>
                                    <w:bottom w:val="none" w:sz="0" w:space="0" w:color="auto"/>
                                    <w:right w:val="none" w:sz="0" w:space="0" w:color="auto"/>
                                  </w:divBdr>
                                </w:div>
                                <w:div w:id="1023022541">
                                  <w:marLeft w:val="0"/>
                                  <w:marRight w:val="0"/>
                                  <w:marTop w:val="0"/>
                                  <w:marBottom w:val="0"/>
                                  <w:divBdr>
                                    <w:top w:val="none" w:sz="0" w:space="0" w:color="auto"/>
                                    <w:left w:val="none" w:sz="0" w:space="0" w:color="auto"/>
                                    <w:bottom w:val="none" w:sz="0" w:space="0" w:color="auto"/>
                                    <w:right w:val="none" w:sz="0" w:space="0" w:color="auto"/>
                                  </w:divBdr>
                                </w:div>
                                <w:div w:id="1118989804">
                                  <w:marLeft w:val="0"/>
                                  <w:marRight w:val="0"/>
                                  <w:marTop w:val="0"/>
                                  <w:marBottom w:val="0"/>
                                  <w:divBdr>
                                    <w:top w:val="none" w:sz="0" w:space="0" w:color="auto"/>
                                    <w:left w:val="none" w:sz="0" w:space="0" w:color="auto"/>
                                    <w:bottom w:val="none" w:sz="0" w:space="0" w:color="auto"/>
                                    <w:right w:val="none" w:sz="0" w:space="0" w:color="auto"/>
                                  </w:divBdr>
                                </w:div>
                                <w:div w:id="1436365303">
                                  <w:marLeft w:val="0"/>
                                  <w:marRight w:val="0"/>
                                  <w:marTop w:val="0"/>
                                  <w:marBottom w:val="0"/>
                                  <w:divBdr>
                                    <w:top w:val="none" w:sz="0" w:space="0" w:color="auto"/>
                                    <w:left w:val="none" w:sz="0" w:space="0" w:color="auto"/>
                                    <w:bottom w:val="none" w:sz="0" w:space="0" w:color="auto"/>
                                    <w:right w:val="none" w:sz="0" w:space="0" w:color="auto"/>
                                  </w:divBdr>
                                </w:div>
                                <w:div w:id="1513686116">
                                  <w:marLeft w:val="0"/>
                                  <w:marRight w:val="0"/>
                                  <w:marTop w:val="0"/>
                                  <w:marBottom w:val="0"/>
                                  <w:divBdr>
                                    <w:top w:val="none" w:sz="0" w:space="0" w:color="auto"/>
                                    <w:left w:val="none" w:sz="0" w:space="0" w:color="auto"/>
                                    <w:bottom w:val="none" w:sz="0" w:space="0" w:color="auto"/>
                                    <w:right w:val="none" w:sz="0" w:space="0" w:color="auto"/>
                                  </w:divBdr>
                                </w:div>
                                <w:div w:id="1601833030">
                                  <w:marLeft w:val="0"/>
                                  <w:marRight w:val="0"/>
                                  <w:marTop w:val="0"/>
                                  <w:marBottom w:val="0"/>
                                  <w:divBdr>
                                    <w:top w:val="none" w:sz="0" w:space="0" w:color="auto"/>
                                    <w:left w:val="none" w:sz="0" w:space="0" w:color="auto"/>
                                    <w:bottom w:val="none" w:sz="0" w:space="0" w:color="auto"/>
                                    <w:right w:val="none" w:sz="0" w:space="0" w:color="auto"/>
                                  </w:divBdr>
                                </w:div>
                                <w:div w:id="1848791753">
                                  <w:marLeft w:val="0"/>
                                  <w:marRight w:val="0"/>
                                  <w:marTop w:val="0"/>
                                  <w:marBottom w:val="0"/>
                                  <w:divBdr>
                                    <w:top w:val="none" w:sz="0" w:space="0" w:color="auto"/>
                                    <w:left w:val="none" w:sz="0" w:space="0" w:color="auto"/>
                                    <w:bottom w:val="none" w:sz="0" w:space="0" w:color="auto"/>
                                    <w:right w:val="none" w:sz="0" w:space="0" w:color="auto"/>
                                  </w:divBdr>
                                </w:div>
                                <w:div w:id="2027562685">
                                  <w:marLeft w:val="0"/>
                                  <w:marRight w:val="0"/>
                                  <w:marTop w:val="0"/>
                                  <w:marBottom w:val="0"/>
                                  <w:divBdr>
                                    <w:top w:val="none" w:sz="0" w:space="0" w:color="auto"/>
                                    <w:left w:val="none" w:sz="0" w:space="0" w:color="auto"/>
                                    <w:bottom w:val="none" w:sz="0" w:space="0" w:color="auto"/>
                                    <w:right w:val="none" w:sz="0" w:space="0" w:color="auto"/>
                                  </w:divBdr>
                                </w:div>
                                <w:div w:id="2067682286">
                                  <w:marLeft w:val="0"/>
                                  <w:marRight w:val="0"/>
                                  <w:marTop w:val="0"/>
                                  <w:marBottom w:val="0"/>
                                  <w:divBdr>
                                    <w:top w:val="none" w:sz="0" w:space="0" w:color="auto"/>
                                    <w:left w:val="none" w:sz="0" w:space="0" w:color="auto"/>
                                    <w:bottom w:val="none" w:sz="0" w:space="0" w:color="auto"/>
                                    <w:right w:val="none" w:sz="0" w:space="0" w:color="auto"/>
                                  </w:divBdr>
                                </w:div>
                                <w:div w:id="2111704226">
                                  <w:marLeft w:val="0"/>
                                  <w:marRight w:val="0"/>
                                  <w:marTop w:val="0"/>
                                  <w:marBottom w:val="0"/>
                                  <w:divBdr>
                                    <w:top w:val="none" w:sz="0" w:space="0" w:color="auto"/>
                                    <w:left w:val="none" w:sz="0" w:space="0" w:color="auto"/>
                                    <w:bottom w:val="none" w:sz="0" w:space="0" w:color="auto"/>
                                    <w:right w:val="none" w:sz="0" w:space="0" w:color="auto"/>
                                  </w:divBdr>
                                </w:div>
                                <w:div w:id="21171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5124">
      <w:bodyDiv w:val="1"/>
      <w:marLeft w:val="0"/>
      <w:marRight w:val="0"/>
      <w:marTop w:val="0"/>
      <w:marBottom w:val="0"/>
      <w:divBdr>
        <w:top w:val="none" w:sz="0" w:space="0" w:color="auto"/>
        <w:left w:val="none" w:sz="0" w:space="0" w:color="auto"/>
        <w:bottom w:val="none" w:sz="0" w:space="0" w:color="auto"/>
        <w:right w:val="none" w:sz="0" w:space="0" w:color="auto"/>
      </w:divBdr>
    </w:div>
    <w:div w:id="1195535274">
      <w:bodyDiv w:val="1"/>
      <w:marLeft w:val="0"/>
      <w:marRight w:val="0"/>
      <w:marTop w:val="0"/>
      <w:marBottom w:val="0"/>
      <w:divBdr>
        <w:top w:val="none" w:sz="0" w:space="0" w:color="auto"/>
        <w:left w:val="none" w:sz="0" w:space="0" w:color="auto"/>
        <w:bottom w:val="none" w:sz="0" w:space="0" w:color="auto"/>
        <w:right w:val="none" w:sz="0" w:space="0" w:color="auto"/>
      </w:divBdr>
    </w:div>
    <w:div w:id="1225288007">
      <w:bodyDiv w:val="1"/>
      <w:marLeft w:val="0"/>
      <w:marRight w:val="0"/>
      <w:marTop w:val="0"/>
      <w:marBottom w:val="0"/>
      <w:divBdr>
        <w:top w:val="none" w:sz="0" w:space="0" w:color="auto"/>
        <w:left w:val="none" w:sz="0" w:space="0" w:color="auto"/>
        <w:bottom w:val="none" w:sz="0" w:space="0" w:color="auto"/>
        <w:right w:val="none" w:sz="0" w:space="0" w:color="auto"/>
      </w:divBdr>
      <w:divsChild>
        <w:div w:id="1969435296">
          <w:marLeft w:val="0"/>
          <w:marRight w:val="0"/>
          <w:marTop w:val="0"/>
          <w:marBottom w:val="0"/>
          <w:divBdr>
            <w:top w:val="none" w:sz="0" w:space="0" w:color="auto"/>
            <w:left w:val="none" w:sz="0" w:space="0" w:color="auto"/>
            <w:bottom w:val="none" w:sz="0" w:space="0" w:color="auto"/>
            <w:right w:val="none" w:sz="0" w:space="0" w:color="auto"/>
          </w:divBdr>
          <w:divsChild>
            <w:div w:id="2136098133">
              <w:marLeft w:val="0"/>
              <w:marRight w:val="0"/>
              <w:marTop w:val="0"/>
              <w:marBottom w:val="0"/>
              <w:divBdr>
                <w:top w:val="none" w:sz="0" w:space="0" w:color="auto"/>
                <w:left w:val="none" w:sz="0" w:space="0" w:color="auto"/>
                <w:bottom w:val="none" w:sz="0" w:space="0" w:color="auto"/>
                <w:right w:val="none" w:sz="0" w:space="0" w:color="auto"/>
              </w:divBdr>
              <w:divsChild>
                <w:div w:id="1029452330">
                  <w:marLeft w:val="0"/>
                  <w:marRight w:val="0"/>
                  <w:marTop w:val="0"/>
                  <w:marBottom w:val="0"/>
                  <w:divBdr>
                    <w:top w:val="none" w:sz="0" w:space="0" w:color="auto"/>
                    <w:left w:val="none" w:sz="0" w:space="0" w:color="auto"/>
                    <w:bottom w:val="none" w:sz="0" w:space="0" w:color="auto"/>
                    <w:right w:val="none" w:sz="0" w:space="0" w:color="auto"/>
                  </w:divBdr>
                  <w:divsChild>
                    <w:div w:id="1730179495">
                      <w:marLeft w:val="0"/>
                      <w:marRight w:val="0"/>
                      <w:marTop w:val="0"/>
                      <w:marBottom w:val="0"/>
                      <w:divBdr>
                        <w:top w:val="none" w:sz="0" w:space="0" w:color="auto"/>
                        <w:left w:val="none" w:sz="0" w:space="0" w:color="auto"/>
                        <w:bottom w:val="none" w:sz="0" w:space="0" w:color="auto"/>
                        <w:right w:val="none" w:sz="0" w:space="0" w:color="auto"/>
                      </w:divBdr>
                      <w:divsChild>
                        <w:div w:id="1517771551">
                          <w:marLeft w:val="0"/>
                          <w:marRight w:val="0"/>
                          <w:marTop w:val="15"/>
                          <w:marBottom w:val="0"/>
                          <w:divBdr>
                            <w:top w:val="none" w:sz="0" w:space="0" w:color="auto"/>
                            <w:left w:val="none" w:sz="0" w:space="0" w:color="auto"/>
                            <w:bottom w:val="none" w:sz="0" w:space="0" w:color="auto"/>
                            <w:right w:val="none" w:sz="0" w:space="0" w:color="auto"/>
                          </w:divBdr>
                          <w:divsChild>
                            <w:div w:id="376469802">
                              <w:marLeft w:val="0"/>
                              <w:marRight w:val="0"/>
                              <w:marTop w:val="0"/>
                              <w:marBottom w:val="0"/>
                              <w:divBdr>
                                <w:top w:val="none" w:sz="0" w:space="0" w:color="auto"/>
                                <w:left w:val="none" w:sz="0" w:space="0" w:color="auto"/>
                                <w:bottom w:val="none" w:sz="0" w:space="0" w:color="auto"/>
                                <w:right w:val="none" w:sz="0" w:space="0" w:color="auto"/>
                              </w:divBdr>
                              <w:divsChild>
                                <w:div w:id="42221716">
                                  <w:marLeft w:val="0"/>
                                  <w:marRight w:val="0"/>
                                  <w:marTop w:val="0"/>
                                  <w:marBottom w:val="0"/>
                                  <w:divBdr>
                                    <w:top w:val="none" w:sz="0" w:space="0" w:color="auto"/>
                                    <w:left w:val="none" w:sz="0" w:space="0" w:color="auto"/>
                                    <w:bottom w:val="none" w:sz="0" w:space="0" w:color="auto"/>
                                    <w:right w:val="none" w:sz="0" w:space="0" w:color="auto"/>
                                  </w:divBdr>
                                </w:div>
                                <w:div w:id="288829274">
                                  <w:marLeft w:val="0"/>
                                  <w:marRight w:val="0"/>
                                  <w:marTop w:val="0"/>
                                  <w:marBottom w:val="0"/>
                                  <w:divBdr>
                                    <w:top w:val="none" w:sz="0" w:space="0" w:color="auto"/>
                                    <w:left w:val="none" w:sz="0" w:space="0" w:color="auto"/>
                                    <w:bottom w:val="none" w:sz="0" w:space="0" w:color="auto"/>
                                    <w:right w:val="none" w:sz="0" w:space="0" w:color="auto"/>
                                  </w:divBdr>
                                </w:div>
                                <w:div w:id="445126844">
                                  <w:marLeft w:val="0"/>
                                  <w:marRight w:val="0"/>
                                  <w:marTop w:val="0"/>
                                  <w:marBottom w:val="0"/>
                                  <w:divBdr>
                                    <w:top w:val="none" w:sz="0" w:space="0" w:color="auto"/>
                                    <w:left w:val="none" w:sz="0" w:space="0" w:color="auto"/>
                                    <w:bottom w:val="none" w:sz="0" w:space="0" w:color="auto"/>
                                    <w:right w:val="none" w:sz="0" w:space="0" w:color="auto"/>
                                  </w:divBdr>
                                </w:div>
                                <w:div w:id="680864017">
                                  <w:marLeft w:val="0"/>
                                  <w:marRight w:val="0"/>
                                  <w:marTop w:val="0"/>
                                  <w:marBottom w:val="0"/>
                                  <w:divBdr>
                                    <w:top w:val="none" w:sz="0" w:space="0" w:color="auto"/>
                                    <w:left w:val="none" w:sz="0" w:space="0" w:color="auto"/>
                                    <w:bottom w:val="none" w:sz="0" w:space="0" w:color="auto"/>
                                    <w:right w:val="none" w:sz="0" w:space="0" w:color="auto"/>
                                  </w:divBdr>
                                </w:div>
                                <w:div w:id="788087667">
                                  <w:marLeft w:val="0"/>
                                  <w:marRight w:val="0"/>
                                  <w:marTop w:val="0"/>
                                  <w:marBottom w:val="0"/>
                                  <w:divBdr>
                                    <w:top w:val="none" w:sz="0" w:space="0" w:color="auto"/>
                                    <w:left w:val="none" w:sz="0" w:space="0" w:color="auto"/>
                                    <w:bottom w:val="none" w:sz="0" w:space="0" w:color="auto"/>
                                    <w:right w:val="none" w:sz="0" w:space="0" w:color="auto"/>
                                  </w:divBdr>
                                </w:div>
                                <w:div w:id="818691889">
                                  <w:marLeft w:val="0"/>
                                  <w:marRight w:val="0"/>
                                  <w:marTop w:val="0"/>
                                  <w:marBottom w:val="0"/>
                                  <w:divBdr>
                                    <w:top w:val="none" w:sz="0" w:space="0" w:color="auto"/>
                                    <w:left w:val="none" w:sz="0" w:space="0" w:color="auto"/>
                                    <w:bottom w:val="none" w:sz="0" w:space="0" w:color="auto"/>
                                    <w:right w:val="none" w:sz="0" w:space="0" w:color="auto"/>
                                  </w:divBdr>
                                </w:div>
                                <w:div w:id="1289121793">
                                  <w:marLeft w:val="0"/>
                                  <w:marRight w:val="0"/>
                                  <w:marTop w:val="0"/>
                                  <w:marBottom w:val="0"/>
                                  <w:divBdr>
                                    <w:top w:val="none" w:sz="0" w:space="0" w:color="auto"/>
                                    <w:left w:val="none" w:sz="0" w:space="0" w:color="auto"/>
                                    <w:bottom w:val="none" w:sz="0" w:space="0" w:color="auto"/>
                                    <w:right w:val="none" w:sz="0" w:space="0" w:color="auto"/>
                                  </w:divBdr>
                                </w:div>
                                <w:div w:id="1482035778">
                                  <w:marLeft w:val="0"/>
                                  <w:marRight w:val="0"/>
                                  <w:marTop w:val="0"/>
                                  <w:marBottom w:val="0"/>
                                  <w:divBdr>
                                    <w:top w:val="none" w:sz="0" w:space="0" w:color="auto"/>
                                    <w:left w:val="none" w:sz="0" w:space="0" w:color="auto"/>
                                    <w:bottom w:val="none" w:sz="0" w:space="0" w:color="auto"/>
                                    <w:right w:val="none" w:sz="0" w:space="0" w:color="auto"/>
                                  </w:divBdr>
                                </w:div>
                                <w:div w:id="1998340728">
                                  <w:marLeft w:val="0"/>
                                  <w:marRight w:val="0"/>
                                  <w:marTop w:val="0"/>
                                  <w:marBottom w:val="0"/>
                                  <w:divBdr>
                                    <w:top w:val="none" w:sz="0" w:space="0" w:color="auto"/>
                                    <w:left w:val="none" w:sz="0" w:space="0" w:color="auto"/>
                                    <w:bottom w:val="none" w:sz="0" w:space="0" w:color="auto"/>
                                    <w:right w:val="none" w:sz="0" w:space="0" w:color="auto"/>
                                  </w:divBdr>
                                </w:div>
                                <w:div w:id="21149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41372">
      <w:bodyDiv w:val="1"/>
      <w:marLeft w:val="0"/>
      <w:marRight w:val="0"/>
      <w:marTop w:val="0"/>
      <w:marBottom w:val="0"/>
      <w:divBdr>
        <w:top w:val="none" w:sz="0" w:space="0" w:color="auto"/>
        <w:left w:val="none" w:sz="0" w:space="0" w:color="auto"/>
        <w:bottom w:val="none" w:sz="0" w:space="0" w:color="auto"/>
        <w:right w:val="none" w:sz="0" w:space="0" w:color="auto"/>
      </w:divBdr>
    </w:div>
    <w:div w:id="1682126113">
      <w:bodyDiv w:val="1"/>
      <w:marLeft w:val="0"/>
      <w:marRight w:val="0"/>
      <w:marTop w:val="0"/>
      <w:marBottom w:val="0"/>
      <w:divBdr>
        <w:top w:val="none" w:sz="0" w:space="0" w:color="auto"/>
        <w:left w:val="none" w:sz="0" w:space="0" w:color="auto"/>
        <w:bottom w:val="none" w:sz="0" w:space="0" w:color="auto"/>
        <w:right w:val="none" w:sz="0" w:space="0" w:color="auto"/>
      </w:divBdr>
      <w:divsChild>
        <w:div w:id="774788291">
          <w:marLeft w:val="0"/>
          <w:marRight w:val="0"/>
          <w:marTop w:val="0"/>
          <w:marBottom w:val="0"/>
          <w:divBdr>
            <w:top w:val="none" w:sz="0" w:space="0" w:color="auto"/>
            <w:left w:val="none" w:sz="0" w:space="0" w:color="auto"/>
            <w:bottom w:val="none" w:sz="0" w:space="0" w:color="auto"/>
            <w:right w:val="none" w:sz="0" w:space="0" w:color="auto"/>
          </w:divBdr>
          <w:divsChild>
            <w:div w:id="167722703">
              <w:marLeft w:val="0"/>
              <w:marRight w:val="0"/>
              <w:marTop w:val="0"/>
              <w:marBottom w:val="0"/>
              <w:divBdr>
                <w:top w:val="none" w:sz="0" w:space="0" w:color="auto"/>
                <w:left w:val="none" w:sz="0" w:space="0" w:color="auto"/>
                <w:bottom w:val="none" w:sz="0" w:space="0" w:color="auto"/>
                <w:right w:val="none" w:sz="0" w:space="0" w:color="auto"/>
              </w:divBdr>
              <w:divsChild>
                <w:div w:id="876238200">
                  <w:marLeft w:val="0"/>
                  <w:marRight w:val="0"/>
                  <w:marTop w:val="0"/>
                  <w:marBottom w:val="0"/>
                  <w:divBdr>
                    <w:top w:val="none" w:sz="0" w:space="0" w:color="auto"/>
                    <w:left w:val="none" w:sz="0" w:space="0" w:color="auto"/>
                    <w:bottom w:val="none" w:sz="0" w:space="0" w:color="auto"/>
                    <w:right w:val="none" w:sz="0" w:space="0" w:color="auto"/>
                  </w:divBdr>
                  <w:divsChild>
                    <w:div w:id="569002531">
                      <w:marLeft w:val="0"/>
                      <w:marRight w:val="0"/>
                      <w:marTop w:val="0"/>
                      <w:marBottom w:val="0"/>
                      <w:divBdr>
                        <w:top w:val="none" w:sz="0" w:space="0" w:color="auto"/>
                        <w:left w:val="none" w:sz="0" w:space="0" w:color="auto"/>
                        <w:bottom w:val="none" w:sz="0" w:space="0" w:color="auto"/>
                        <w:right w:val="none" w:sz="0" w:space="0" w:color="auto"/>
                      </w:divBdr>
                      <w:divsChild>
                        <w:div w:id="533347450">
                          <w:marLeft w:val="0"/>
                          <w:marRight w:val="0"/>
                          <w:marTop w:val="15"/>
                          <w:marBottom w:val="0"/>
                          <w:divBdr>
                            <w:top w:val="none" w:sz="0" w:space="0" w:color="auto"/>
                            <w:left w:val="none" w:sz="0" w:space="0" w:color="auto"/>
                            <w:bottom w:val="none" w:sz="0" w:space="0" w:color="auto"/>
                            <w:right w:val="none" w:sz="0" w:space="0" w:color="auto"/>
                          </w:divBdr>
                          <w:divsChild>
                            <w:div w:id="281305256">
                              <w:marLeft w:val="0"/>
                              <w:marRight w:val="0"/>
                              <w:marTop w:val="0"/>
                              <w:marBottom w:val="0"/>
                              <w:divBdr>
                                <w:top w:val="none" w:sz="0" w:space="0" w:color="auto"/>
                                <w:left w:val="none" w:sz="0" w:space="0" w:color="auto"/>
                                <w:bottom w:val="none" w:sz="0" w:space="0" w:color="auto"/>
                                <w:right w:val="none" w:sz="0" w:space="0" w:color="auto"/>
                              </w:divBdr>
                              <w:divsChild>
                                <w:div w:id="410154884">
                                  <w:marLeft w:val="0"/>
                                  <w:marRight w:val="0"/>
                                  <w:marTop w:val="0"/>
                                  <w:marBottom w:val="0"/>
                                  <w:divBdr>
                                    <w:top w:val="none" w:sz="0" w:space="0" w:color="auto"/>
                                    <w:left w:val="none" w:sz="0" w:space="0" w:color="auto"/>
                                    <w:bottom w:val="none" w:sz="0" w:space="0" w:color="auto"/>
                                    <w:right w:val="none" w:sz="0" w:space="0" w:color="auto"/>
                                  </w:divBdr>
                                </w:div>
                                <w:div w:id="438842399">
                                  <w:marLeft w:val="0"/>
                                  <w:marRight w:val="0"/>
                                  <w:marTop w:val="0"/>
                                  <w:marBottom w:val="0"/>
                                  <w:divBdr>
                                    <w:top w:val="none" w:sz="0" w:space="0" w:color="auto"/>
                                    <w:left w:val="none" w:sz="0" w:space="0" w:color="auto"/>
                                    <w:bottom w:val="none" w:sz="0" w:space="0" w:color="auto"/>
                                    <w:right w:val="none" w:sz="0" w:space="0" w:color="auto"/>
                                  </w:divBdr>
                                </w:div>
                                <w:div w:id="670304205">
                                  <w:marLeft w:val="0"/>
                                  <w:marRight w:val="0"/>
                                  <w:marTop w:val="0"/>
                                  <w:marBottom w:val="0"/>
                                  <w:divBdr>
                                    <w:top w:val="none" w:sz="0" w:space="0" w:color="auto"/>
                                    <w:left w:val="none" w:sz="0" w:space="0" w:color="auto"/>
                                    <w:bottom w:val="none" w:sz="0" w:space="0" w:color="auto"/>
                                    <w:right w:val="none" w:sz="0" w:space="0" w:color="auto"/>
                                  </w:divBdr>
                                </w:div>
                                <w:div w:id="1111902180">
                                  <w:marLeft w:val="0"/>
                                  <w:marRight w:val="0"/>
                                  <w:marTop w:val="0"/>
                                  <w:marBottom w:val="0"/>
                                  <w:divBdr>
                                    <w:top w:val="none" w:sz="0" w:space="0" w:color="auto"/>
                                    <w:left w:val="none" w:sz="0" w:space="0" w:color="auto"/>
                                    <w:bottom w:val="none" w:sz="0" w:space="0" w:color="auto"/>
                                    <w:right w:val="none" w:sz="0" w:space="0" w:color="auto"/>
                                  </w:divBdr>
                                </w:div>
                                <w:div w:id="14530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94347">
      <w:bodyDiv w:val="1"/>
      <w:marLeft w:val="0"/>
      <w:marRight w:val="0"/>
      <w:marTop w:val="0"/>
      <w:marBottom w:val="0"/>
      <w:divBdr>
        <w:top w:val="none" w:sz="0" w:space="0" w:color="auto"/>
        <w:left w:val="none" w:sz="0" w:space="0" w:color="auto"/>
        <w:bottom w:val="none" w:sz="0" w:space="0" w:color="auto"/>
        <w:right w:val="none" w:sz="0" w:space="0" w:color="auto"/>
      </w:divBdr>
    </w:div>
    <w:div w:id="1785806666">
      <w:bodyDiv w:val="1"/>
      <w:marLeft w:val="0"/>
      <w:marRight w:val="0"/>
      <w:marTop w:val="0"/>
      <w:marBottom w:val="0"/>
      <w:divBdr>
        <w:top w:val="none" w:sz="0" w:space="0" w:color="auto"/>
        <w:left w:val="none" w:sz="0" w:space="0" w:color="auto"/>
        <w:bottom w:val="none" w:sz="0" w:space="0" w:color="auto"/>
        <w:right w:val="none" w:sz="0" w:space="0" w:color="auto"/>
      </w:divBdr>
    </w:div>
    <w:div w:id="1881242006">
      <w:bodyDiv w:val="1"/>
      <w:marLeft w:val="0"/>
      <w:marRight w:val="0"/>
      <w:marTop w:val="0"/>
      <w:marBottom w:val="0"/>
      <w:divBdr>
        <w:top w:val="none" w:sz="0" w:space="0" w:color="auto"/>
        <w:left w:val="none" w:sz="0" w:space="0" w:color="auto"/>
        <w:bottom w:val="none" w:sz="0" w:space="0" w:color="auto"/>
        <w:right w:val="none" w:sz="0" w:space="0" w:color="auto"/>
      </w:divBdr>
    </w:div>
    <w:div w:id="1955597222">
      <w:bodyDiv w:val="1"/>
      <w:marLeft w:val="0"/>
      <w:marRight w:val="0"/>
      <w:marTop w:val="0"/>
      <w:marBottom w:val="0"/>
      <w:divBdr>
        <w:top w:val="none" w:sz="0" w:space="0" w:color="auto"/>
        <w:left w:val="none" w:sz="0" w:space="0" w:color="auto"/>
        <w:bottom w:val="none" w:sz="0" w:space="0" w:color="auto"/>
        <w:right w:val="none" w:sz="0" w:space="0" w:color="auto"/>
      </w:divBdr>
    </w:div>
    <w:div w:id="2055542078">
      <w:bodyDiv w:val="1"/>
      <w:marLeft w:val="0"/>
      <w:marRight w:val="0"/>
      <w:marTop w:val="0"/>
      <w:marBottom w:val="0"/>
      <w:divBdr>
        <w:top w:val="none" w:sz="0" w:space="0" w:color="auto"/>
        <w:left w:val="none" w:sz="0" w:space="0" w:color="auto"/>
        <w:bottom w:val="none" w:sz="0" w:space="0" w:color="auto"/>
        <w:right w:val="none" w:sz="0" w:space="0" w:color="auto"/>
      </w:divBdr>
    </w:div>
    <w:div w:id="2079670082">
      <w:bodyDiv w:val="1"/>
      <w:marLeft w:val="0"/>
      <w:marRight w:val="0"/>
      <w:marTop w:val="0"/>
      <w:marBottom w:val="0"/>
      <w:divBdr>
        <w:top w:val="none" w:sz="0" w:space="0" w:color="auto"/>
        <w:left w:val="none" w:sz="0" w:space="0" w:color="auto"/>
        <w:bottom w:val="none" w:sz="0" w:space="0" w:color="auto"/>
        <w:right w:val="none" w:sz="0" w:space="0" w:color="auto"/>
      </w:divBdr>
    </w:div>
    <w:div w:id="2083258372">
      <w:bodyDiv w:val="1"/>
      <w:marLeft w:val="0"/>
      <w:marRight w:val="0"/>
      <w:marTop w:val="0"/>
      <w:marBottom w:val="0"/>
      <w:divBdr>
        <w:top w:val="none" w:sz="0" w:space="0" w:color="auto"/>
        <w:left w:val="none" w:sz="0" w:space="0" w:color="auto"/>
        <w:bottom w:val="none" w:sz="0" w:space="0" w:color="auto"/>
        <w:right w:val="none" w:sz="0" w:space="0" w:color="auto"/>
      </w:divBdr>
    </w:div>
    <w:div w:id="2122529472">
      <w:bodyDiv w:val="1"/>
      <w:marLeft w:val="0"/>
      <w:marRight w:val="0"/>
      <w:marTop w:val="0"/>
      <w:marBottom w:val="0"/>
      <w:divBdr>
        <w:top w:val="none" w:sz="0" w:space="0" w:color="auto"/>
        <w:left w:val="none" w:sz="0" w:space="0" w:color="auto"/>
        <w:bottom w:val="none" w:sz="0" w:space="0" w:color="auto"/>
        <w:right w:val="none" w:sz="0" w:space="0" w:color="auto"/>
      </w:divBdr>
    </w:div>
    <w:div w:id="212743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murfit@GameAccountNetwo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N.com" TargetMode="External"/><Relationship Id="rId4" Type="http://schemas.openxmlformats.org/officeDocument/2006/relationships/settings" Target="settings.xml"/><Relationship Id="rId9" Type="http://schemas.openxmlformats.org/officeDocument/2006/relationships/hyperlink" Target="mailto:gameaccount@fti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89A9-09CC-4E17-AC04-1FA478C9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Part 5: Accountant’s report and financial information on GameAccount Network plc</vt:lpstr>
    </vt:vector>
  </TitlesOfParts>
  <Company>Addleshaw Goddard</Company>
  <LinksUpToDate>false</LinksUpToDate>
  <CharactersWithSpaces>33930</CharactersWithSpaces>
  <SharedDoc>false</SharedDoc>
  <HLinks>
    <vt:vector size="6" baseType="variant">
      <vt:variant>
        <vt:i4>131156</vt:i4>
      </vt:variant>
      <vt:variant>
        <vt:i4>0</vt:i4>
      </vt:variant>
      <vt:variant>
        <vt:i4>0</vt:i4>
      </vt:variant>
      <vt:variant>
        <vt:i4>5</vt:i4>
      </vt:variant>
      <vt:variant>
        <vt:lpwstr>http://www.frc.org.uk/auditscopeukprivate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Accountant’s report and financial information on GameAccount Network plc</dc:title>
  <dc:creator>John</dc:creator>
  <cp:lastModifiedBy>Dana Takrudtong</cp:lastModifiedBy>
  <cp:revision>4</cp:revision>
  <cp:lastPrinted>2015-09-26T16:56:00Z</cp:lastPrinted>
  <dcterms:created xsi:type="dcterms:W3CDTF">2015-09-27T12:21:00Z</dcterms:created>
  <dcterms:modified xsi:type="dcterms:W3CDTF">2015-09-28T05:41:00Z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DOCUMENT2</vt:lpwstr>
  </property>
  <property fmtid="{D5CDD505-2E9C-101B-9397-08002B2CF9AE}" pid="3" name="DocLoc2">
    <vt:lpwstr>Document2</vt:lpwstr>
  </property>
  <property fmtid="{D5CDD505-2E9C-101B-9397-08002B2CF9AE}" pid="4" name="CreatedBy">
    <vt:lpwstr>BARKEJL</vt:lpwstr>
  </property>
  <property fmtid="{D5CDD505-2E9C-101B-9397-08002B2CF9AE}" pid="5" name="CreatedOn">
    <vt:lpwstr>29 November 2013</vt:lpwstr>
  </property>
  <property fmtid="{D5CDD505-2E9C-101B-9397-08002B2CF9AE}" pid="6" name="PartnerNumber">
    <vt:lpwstr>6400</vt:lpwstr>
  </property>
  <property fmtid="{D5CDD505-2E9C-101B-9397-08002B2CF9AE}" pid="7" name="ClientNumber">
    <vt:lpwstr/>
  </property>
  <property fmtid="{D5CDD505-2E9C-101B-9397-08002B2CF9AE}" pid="8" name="Author">
    <vt:lpwstr>JLB</vt:lpwstr>
  </property>
  <property fmtid="{D5CDD505-2E9C-101B-9397-08002B2CF9AE}" pid="9" name="FileReference">
    <vt:lpwstr/>
  </property>
  <property fmtid="{D5CDD505-2E9C-101B-9397-08002B2CF9AE}" pid="10" name="DocReference">
    <vt:lpwstr/>
  </property>
</Properties>
</file>